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19B" w:rsidRPr="00FB397C" w:rsidRDefault="005D519B" w:rsidP="007A6BD2">
      <w:pPr>
        <w:jc w:val="right"/>
        <w:rPr>
          <w:b/>
          <w:sz w:val="28"/>
          <w:szCs w:val="28"/>
          <w:lang w:eastAsia="fr-FR"/>
        </w:rPr>
      </w:pPr>
    </w:p>
    <w:p w:rsidR="005D519B" w:rsidRDefault="005D519B" w:rsidP="007A6BD2">
      <w:pPr>
        <w:jc w:val="right"/>
        <w:rPr>
          <w:sz w:val="24"/>
          <w:szCs w:val="24"/>
          <w:lang w:eastAsia="fr-FR"/>
        </w:rPr>
      </w:pPr>
    </w:p>
    <w:p w:rsidR="005D519B" w:rsidRPr="009348A8" w:rsidRDefault="005D519B" w:rsidP="007A6BD2">
      <w:pPr>
        <w:jc w:val="center"/>
        <w:rPr>
          <w:b/>
          <w:sz w:val="24"/>
          <w:szCs w:val="24"/>
          <w:lang w:eastAsia="fr-FR"/>
        </w:rPr>
      </w:pPr>
      <w:r>
        <w:rPr>
          <w:b/>
          <w:sz w:val="24"/>
          <w:szCs w:val="24"/>
          <w:lang w:eastAsia="fr-FR"/>
        </w:rPr>
        <w:t>Q</w:t>
      </w:r>
      <w:r w:rsidRPr="009348A8">
        <w:rPr>
          <w:b/>
          <w:sz w:val="24"/>
          <w:szCs w:val="24"/>
          <w:lang w:eastAsia="fr-FR"/>
        </w:rPr>
        <w:t>uestionnaire related to the regulatory consideration of the protection of PMSE</w:t>
      </w:r>
      <w:r>
        <w:rPr>
          <w:rStyle w:val="FootnoteReference"/>
          <w:sz w:val="24"/>
          <w:szCs w:val="24"/>
          <w:lang w:eastAsia="fr-FR"/>
        </w:rPr>
        <w:footnoteReference w:id="1"/>
      </w:r>
      <w:r w:rsidRPr="009348A8">
        <w:rPr>
          <w:b/>
          <w:sz w:val="24"/>
          <w:szCs w:val="24"/>
          <w:lang w:eastAsia="fr-FR"/>
        </w:rPr>
        <w:t xml:space="preserve"> in the UHF band in a context of WSD</w:t>
      </w:r>
      <w:r>
        <w:rPr>
          <w:b/>
          <w:sz w:val="24"/>
          <w:szCs w:val="24"/>
          <w:lang w:eastAsia="fr-FR"/>
        </w:rPr>
        <w:t xml:space="preserve"> (White Space Device) </w:t>
      </w:r>
      <w:r w:rsidRPr="009348A8">
        <w:rPr>
          <w:b/>
          <w:sz w:val="24"/>
          <w:szCs w:val="24"/>
          <w:lang w:eastAsia="fr-FR"/>
        </w:rPr>
        <w:t>use</w:t>
      </w:r>
    </w:p>
    <w:p w:rsidR="005D519B" w:rsidRDefault="005D519B" w:rsidP="007A6BD2">
      <w:pPr>
        <w:rPr>
          <w:sz w:val="24"/>
          <w:szCs w:val="24"/>
          <w:lang w:eastAsia="fr-FR"/>
        </w:rPr>
      </w:pPr>
    </w:p>
    <w:p w:rsidR="005D519B" w:rsidRPr="00B028D9" w:rsidRDefault="005D519B" w:rsidP="007A6BD2">
      <w:pPr>
        <w:rPr>
          <w:rFonts w:ascii="Arial" w:hAnsi="Arial" w:cs="Arial"/>
          <w:b/>
          <w:i/>
          <w:color w:val="FF6600"/>
          <w:szCs w:val="22"/>
        </w:rPr>
      </w:pPr>
      <w:r w:rsidRPr="00B028D9">
        <w:rPr>
          <w:rFonts w:ascii="Arial" w:hAnsi="Arial" w:cs="Arial"/>
          <w:b/>
          <w:i/>
          <w:color w:val="FF6600"/>
          <w:szCs w:val="22"/>
        </w:rPr>
        <w:t>Information to be provided in the cover of the questionnaire:</w:t>
      </w:r>
    </w:p>
    <w:p w:rsidR="005D519B" w:rsidRPr="00B028D9" w:rsidRDefault="005D519B" w:rsidP="007A6BD2">
      <w:pPr>
        <w:rPr>
          <w:rFonts w:ascii="Arial" w:hAnsi="Arial"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6724"/>
      </w:tblGrid>
      <w:tr w:rsidR="005D519B" w:rsidRPr="00B028D9" w:rsidTr="00922652">
        <w:trPr>
          <w:trHeight w:val="535"/>
        </w:trPr>
        <w:tc>
          <w:tcPr>
            <w:tcW w:w="2564" w:type="dxa"/>
            <w:vAlign w:val="center"/>
          </w:tcPr>
          <w:p w:rsidR="005D519B" w:rsidRPr="00B028D9" w:rsidRDefault="005D519B" w:rsidP="00922652">
            <w:pPr>
              <w:rPr>
                <w:rFonts w:ascii="Arial" w:hAnsi="Arial" w:cs="Arial"/>
                <w:b/>
              </w:rPr>
            </w:pPr>
            <w:r w:rsidRPr="00B028D9">
              <w:rPr>
                <w:rFonts w:ascii="Arial" w:hAnsi="Arial" w:cs="Arial"/>
                <w:b/>
                <w:szCs w:val="22"/>
              </w:rPr>
              <w:t>Responding company/organisation</w:t>
            </w:r>
          </w:p>
        </w:tc>
        <w:tc>
          <w:tcPr>
            <w:tcW w:w="6724" w:type="dxa"/>
            <w:vAlign w:val="center"/>
          </w:tcPr>
          <w:p w:rsidR="005D519B" w:rsidRPr="00D75506" w:rsidRDefault="005D519B" w:rsidP="00922652">
            <w:pPr>
              <w:rPr>
                <w:rFonts w:ascii="Arial" w:hAnsi="Arial" w:cs="Arial"/>
                <w:color w:val="00B050"/>
              </w:rPr>
            </w:pPr>
            <w:r>
              <w:rPr>
                <w:rFonts w:ascii="Arial" w:hAnsi="Arial" w:cs="Arial"/>
                <w:color w:val="0000FF"/>
                <w:szCs w:val="22"/>
              </w:rPr>
              <w:t xml:space="preserve">Shure Incorporated  /  </w:t>
            </w:r>
            <w:r>
              <w:rPr>
                <w:rFonts w:ascii="Arial" w:hAnsi="Arial" w:cs="Arial"/>
                <w:color w:val="00B050"/>
                <w:szCs w:val="22"/>
              </w:rPr>
              <w:t>Shure Europe GmbH</w:t>
            </w:r>
          </w:p>
        </w:tc>
      </w:tr>
      <w:tr w:rsidR="005D519B" w:rsidRPr="00B028D9" w:rsidTr="00922652">
        <w:trPr>
          <w:trHeight w:val="500"/>
        </w:trPr>
        <w:tc>
          <w:tcPr>
            <w:tcW w:w="2564" w:type="dxa"/>
            <w:vAlign w:val="center"/>
          </w:tcPr>
          <w:p w:rsidR="005D519B" w:rsidRPr="00B028D9" w:rsidRDefault="005D519B" w:rsidP="00922652">
            <w:pPr>
              <w:rPr>
                <w:rFonts w:ascii="Arial" w:hAnsi="Arial" w:cs="Arial"/>
                <w:b/>
              </w:rPr>
            </w:pPr>
            <w:r w:rsidRPr="00B028D9">
              <w:rPr>
                <w:rFonts w:ascii="Arial" w:hAnsi="Arial" w:cs="Arial"/>
                <w:b/>
                <w:szCs w:val="22"/>
              </w:rPr>
              <w:t>Country</w:t>
            </w:r>
          </w:p>
        </w:tc>
        <w:tc>
          <w:tcPr>
            <w:tcW w:w="6724" w:type="dxa"/>
            <w:vAlign w:val="center"/>
          </w:tcPr>
          <w:p w:rsidR="005D519B" w:rsidRPr="00B028D9" w:rsidRDefault="005D519B" w:rsidP="00922652">
            <w:pPr>
              <w:rPr>
                <w:rFonts w:ascii="Arial" w:hAnsi="Arial" w:cs="Arial"/>
                <w:color w:val="0000FF"/>
              </w:rPr>
            </w:pPr>
            <w:r>
              <w:rPr>
                <w:rFonts w:ascii="Arial" w:hAnsi="Arial" w:cs="Arial"/>
                <w:color w:val="0000FF"/>
                <w:szCs w:val="22"/>
              </w:rPr>
              <w:t xml:space="preserve">United States </w:t>
            </w:r>
            <w:r w:rsidRPr="00D75506">
              <w:rPr>
                <w:rFonts w:ascii="Arial" w:hAnsi="Arial" w:cs="Arial"/>
                <w:color w:val="00B050"/>
                <w:szCs w:val="22"/>
              </w:rPr>
              <w:t>/ Germany</w:t>
            </w:r>
          </w:p>
        </w:tc>
      </w:tr>
      <w:tr w:rsidR="005D519B" w:rsidRPr="00B028D9" w:rsidTr="00922652">
        <w:trPr>
          <w:trHeight w:val="500"/>
        </w:trPr>
        <w:tc>
          <w:tcPr>
            <w:tcW w:w="2564" w:type="dxa"/>
            <w:vAlign w:val="center"/>
          </w:tcPr>
          <w:p w:rsidR="005D519B" w:rsidRPr="00B028D9" w:rsidRDefault="005D519B" w:rsidP="00922652">
            <w:pPr>
              <w:rPr>
                <w:rFonts w:ascii="Arial" w:hAnsi="Arial" w:cs="Arial"/>
                <w:b/>
              </w:rPr>
            </w:pPr>
            <w:r w:rsidRPr="00B028D9">
              <w:rPr>
                <w:rFonts w:ascii="Arial" w:hAnsi="Arial" w:cs="Arial"/>
                <w:b/>
                <w:szCs w:val="22"/>
              </w:rPr>
              <w:t>Address/</w:t>
            </w:r>
            <w:r>
              <w:rPr>
                <w:rFonts w:ascii="Arial" w:hAnsi="Arial" w:cs="Arial"/>
                <w:b/>
                <w:szCs w:val="22"/>
              </w:rPr>
              <w:t xml:space="preserve"> </w:t>
            </w:r>
            <w:r w:rsidRPr="00B028D9">
              <w:rPr>
                <w:rFonts w:ascii="Arial" w:hAnsi="Arial" w:cs="Arial"/>
                <w:b/>
                <w:szCs w:val="22"/>
              </w:rPr>
              <w:t>e-mail address</w:t>
            </w:r>
          </w:p>
        </w:tc>
        <w:tc>
          <w:tcPr>
            <w:tcW w:w="6724" w:type="dxa"/>
            <w:vAlign w:val="center"/>
          </w:tcPr>
          <w:p w:rsidR="005D519B" w:rsidRPr="00B028D9" w:rsidRDefault="005D519B" w:rsidP="00922652">
            <w:pPr>
              <w:rPr>
                <w:rFonts w:ascii="Arial" w:hAnsi="Arial" w:cs="Arial"/>
                <w:color w:val="0000FF"/>
              </w:rPr>
            </w:pPr>
            <w:r>
              <w:rPr>
                <w:rFonts w:ascii="Arial" w:hAnsi="Arial" w:cs="Arial"/>
                <w:color w:val="0000FF"/>
                <w:szCs w:val="22"/>
              </w:rPr>
              <w:t xml:space="preserve">Niles, IL 60714-4608 USA </w:t>
            </w:r>
            <w:r w:rsidRPr="00D75506">
              <w:rPr>
                <w:rFonts w:ascii="Arial" w:hAnsi="Arial" w:cs="Arial"/>
                <w:color w:val="00B050"/>
                <w:szCs w:val="22"/>
              </w:rPr>
              <w:t>/ 75031 Eppingen, Germany</w:t>
            </w:r>
          </w:p>
        </w:tc>
      </w:tr>
      <w:tr w:rsidR="005D519B" w:rsidRPr="00B028D9" w:rsidTr="00922652">
        <w:trPr>
          <w:trHeight w:val="500"/>
        </w:trPr>
        <w:tc>
          <w:tcPr>
            <w:tcW w:w="2564" w:type="dxa"/>
            <w:vAlign w:val="center"/>
          </w:tcPr>
          <w:p w:rsidR="005D519B" w:rsidRPr="00B028D9" w:rsidRDefault="005D519B" w:rsidP="00922652">
            <w:pPr>
              <w:rPr>
                <w:rFonts w:ascii="Arial" w:hAnsi="Arial" w:cs="Arial"/>
                <w:b/>
              </w:rPr>
            </w:pPr>
            <w:r w:rsidRPr="00B028D9">
              <w:rPr>
                <w:rFonts w:ascii="Arial" w:hAnsi="Arial" w:cs="Arial"/>
                <w:b/>
                <w:szCs w:val="22"/>
              </w:rPr>
              <w:t>Contact name</w:t>
            </w:r>
          </w:p>
        </w:tc>
        <w:tc>
          <w:tcPr>
            <w:tcW w:w="6724" w:type="dxa"/>
            <w:vAlign w:val="center"/>
          </w:tcPr>
          <w:p w:rsidR="005D519B" w:rsidRPr="00B028D9" w:rsidRDefault="005D519B" w:rsidP="00922652">
            <w:pPr>
              <w:rPr>
                <w:rFonts w:ascii="Arial" w:hAnsi="Arial" w:cs="Arial"/>
                <w:color w:val="0000FF"/>
              </w:rPr>
            </w:pPr>
            <w:r>
              <w:rPr>
                <w:rFonts w:ascii="Arial" w:hAnsi="Arial" w:cs="Arial"/>
                <w:color w:val="0000FF"/>
                <w:szCs w:val="22"/>
              </w:rPr>
              <w:t xml:space="preserve">Edgar Reihl </w:t>
            </w:r>
            <w:r w:rsidRPr="00D75506">
              <w:rPr>
                <w:rFonts w:ascii="Arial" w:hAnsi="Arial" w:cs="Arial"/>
                <w:color w:val="00B050"/>
                <w:szCs w:val="22"/>
              </w:rPr>
              <w:t>/ Wolfgang Bilz</w:t>
            </w:r>
          </w:p>
        </w:tc>
      </w:tr>
    </w:tbl>
    <w:p w:rsidR="005D519B" w:rsidRPr="00B028D9" w:rsidRDefault="005D519B" w:rsidP="007A6BD2">
      <w:pPr>
        <w:rPr>
          <w:rFonts w:ascii="Arial" w:hAnsi="Arial" w:cs="Arial"/>
          <w:b/>
          <w:i/>
          <w:szCs w:val="22"/>
        </w:rPr>
      </w:pPr>
    </w:p>
    <w:p w:rsidR="005D519B" w:rsidRDefault="005D519B" w:rsidP="007A6BD2">
      <w:pPr>
        <w:rPr>
          <w:rFonts w:ascii="Arial" w:hAnsi="Arial" w:cs="Arial"/>
          <w:b/>
          <w:i/>
          <w:sz w:val="22"/>
          <w:szCs w:val="22"/>
        </w:rPr>
      </w:pPr>
      <w:r w:rsidRPr="00816FC4">
        <w:rPr>
          <w:rFonts w:ascii="Arial" w:hAnsi="Arial" w:cs="Arial"/>
          <w:b/>
          <w:i/>
          <w:sz w:val="22"/>
          <w:szCs w:val="22"/>
        </w:rPr>
        <w:t xml:space="preserve">Contact details of </w:t>
      </w:r>
      <w:r>
        <w:rPr>
          <w:rFonts w:ascii="Arial" w:hAnsi="Arial" w:cs="Arial"/>
          <w:b/>
          <w:i/>
          <w:sz w:val="22"/>
          <w:szCs w:val="22"/>
        </w:rPr>
        <w:t xml:space="preserve">a </w:t>
      </w:r>
      <w:r w:rsidRPr="00816FC4">
        <w:rPr>
          <w:rFonts w:ascii="Arial" w:hAnsi="Arial" w:cs="Arial"/>
          <w:b/>
          <w:i/>
          <w:sz w:val="22"/>
          <w:szCs w:val="22"/>
        </w:rPr>
        <w:t>company will not be published outside the WGFM</w:t>
      </w:r>
      <w:r>
        <w:rPr>
          <w:rFonts w:ascii="Arial" w:hAnsi="Arial" w:cs="Arial"/>
          <w:b/>
          <w:i/>
          <w:sz w:val="22"/>
          <w:szCs w:val="22"/>
        </w:rPr>
        <w:t>.</w:t>
      </w:r>
    </w:p>
    <w:p w:rsidR="005D519B" w:rsidRDefault="005D519B" w:rsidP="007A6BD2">
      <w:pPr>
        <w:rPr>
          <w:rFonts w:ascii="Arial" w:hAnsi="Arial" w:cs="Arial"/>
          <w:b/>
          <w:i/>
          <w:sz w:val="22"/>
          <w:szCs w:val="22"/>
        </w:rPr>
      </w:pPr>
    </w:p>
    <w:p w:rsidR="005D519B" w:rsidRPr="00816FC4" w:rsidRDefault="005D519B" w:rsidP="007A6BD2">
      <w:pPr>
        <w:rPr>
          <w:rFonts w:ascii="Arial" w:hAnsi="Arial" w:cs="Arial"/>
          <w:b/>
          <w:sz w:val="22"/>
          <w:szCs w:val="22"/>
        </w:rPr>
      </w:pPr>
      <w:r w:rsidRPr="00816FC4">
        <w:rPr>
          <w:rFonts w:ascii="Arial" w:hAnsi="Arial" w:cs="Arial"/>
          <w:b/>
          <w:i/>
          <w:sz w:val="22"/>
          <w:szCs w:val="22"/>
        </w:rPr>
        <w:t>Correspondence Group on Cognitive Radio Systems (CG CRS), only answers in gray boxes will be used for analysis. Contact details may be used in case of inaccuracy or in case of specific questions.</w:t>
      </w:r>
    </w:p>
    <w:p w:rsidR="005D519B" w:rsidRPr="00816FC4" w:rsidRDefault="005D519B" w:rsidP="007A6BD2">
      <w:pPr>
        <w:rPr>
          <w:rFonts w:ascii="Arial" w:hAnsi="Arial" w:cs="Arial"/>
          <w:b/>
          <w:sz w:val="22"/>
          <w:szCs w:val="22"/>
        </w:rPr>
      </w:pPr>
    </w:p>
    <w:p w:rsidR="005D519B" w:rsidRPr="00816FC4" w:rsidRDefault="005D519B" w:rsidP="007A6BD2">
      <w:pPr>
        <w:jc w:val="center"/>
        <w:rPr>
          <w:rFonts w:ascii="Arial" w:hAnsi="Arial" w:cs="Arial"/>
          <w:b/>
          <w:sz w:val="22"/>
          <w:szCs w:val="22"/>
        </w:rPr>
      </w:pPr>
      <w:r w:rsidRPr="00816FC4">
        <w:rPr>
          <w:rFonts w:ascii="Arial" w:hAnsi="Arial" w:cs="Arial"/>
          <w:b/>
          <w:sz w:val="22"/>
          <w:szCs w:val="22"/>
        </w:rPr>
        <w:t xml:space="preserve">Respondents are kindly invited to return the completed questionnaire </w:t>
      </w:r>
    </w:p>
    <w:p w:rsidR="005D519B" w:rsidRPr="00816FC4" w:rsidRDefault="005D519B" w:rsidP="007A6BD2">
      <w:pPr>
        <w:spacing w:before="120"/>
        <w:jc w:val="center"/>
        <w:rPr>
          <w:rFonts w:ascii="Arial" w:hAnsi="Arial" w:cs="Arial"/>
          <w:b/>
          <w:sz w:val="22"/>
          <w:szCs w:val="22"/>
        </w:rPr>
      </w:pPr>
      <w:r w:rsidRPr="00816FC4">
        <w:rPr>
          <w:rFonts w:ascii="Arial" w:hAnsi="Arial" w:cs="Arial"/>
          <w:b/>
          <w:sz w:val="22"/>
          <w:szCs w:val="22"/>
        </w:rPr>
        <w:t xml:space="preserve">before </w:t>
      </w:r>
      <w:r w:rsidRPr="00816FC4">
        <w:rPr>
          <w:rFonts w:ascii="Arial" w:hAnsi="Arial" w:cs="Arial"/>
          <w:b/>
          <w:sz w:val="22"/>
          <w:szCs w:val="22"/>
          <w:u w:val="single"/>
        </w:rPr>
        <w:t>16 September 2011</w:t>
      </w:r>
    </w:p>
    <w:p w:rsidR="005D519B" w:rsidRPr="00816FC4" w:rsidRDefault="005D519B" w:rsidP="007A6BD2">
      <w:pPr>
        <w:spacing w:before="120"/>
        <w:jc w:val="center"/>
        <w:rPr>
          <w:rFonts w:ascii="Arial" w:hAnsi="Arial" w:cs="Arial"/>
          <w:color w:val="000000"/>
          <w:sz w:val="22"/>
          <w:szCs w:val="22"/>
        </w:rPr>
      </w:pPr>
      <w:r w:rsidRPr="00816FC4">
        <w:rPr>
          <w:rFonts w:ascii="Arial" w:hAnsi="Arial" w:cs="Arial"/>
          <w:b/>
          <w:sz w:val="22"/>
          <w:szCs w:val="22"/>
        </w:rPr>
        <w:t>to the European Communications Office (ECO)</w:t>
      </w:r>
    </w:p>
    <w:p w:rsidR="005D519B" w:rsidRPr="00816FC4" w:rsidRDefault="005D519B" w:rsidP="007A6BD2">
      <w:pPr>
        <w:spacing w:line="360" w:lineRule="auto"/>
        <w:ind w:left="720"/>
        <w:jc w:val="center"/>
        <w:rPr>
          <w:rFonts w:ascii="Arial" w:hAnsi="Arial" w:cs="Arial"/>
          <w:sz w:val="22"/>
          <w:szCs w:val="22"/>
        </w:rPr>
      </w:pPr>
    </w:p>
    <w:p w:rsidR="005D519B" w:rsidRPr="00816FC4" w:rsidRDefault="005D519B" w:rsidP="007A6BD2">
      <w:pPr>
        <w:spacing w:line="360" w:lineRule="auto"/>
        <w:ind w:left="720"/>
        <w:jc w:val="center"/>
        <w:rPr>
          <w:rFonts w:ascii="Arial" w:hAnsi="Arial" w:cs="Arial"/>
          <w:sz w:val="22"/>
          <w:szCs w:val="22"/>
        </w:rPr>
      </w:pPr>
      <w:r w:rsidRPr="00816FC4">
        <w:rPr>
          <w:rFonts w:ascii="Arial" w:hAnsi="Arial" w:cs="Arial"/>
          <w:sz w:val="22"/>
          <w:szCs w:val="22"/>
        </w:rPr>
        <w:t xml:space="preserve">To: </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t>Thomas Weber</w:t>
      </w:r>
    </w:p>
    <w:p w:rsidR="005D519B" w:rsidRPr="00816FC4" w:rsidRDefault="005D519B" w:rsidP="007A6BD2">
      <w:pPr>
        <w:spacing w:line="360" w:lineRule="auto"/>
        <w:ind w:left="720"/>
        <w:jc w:val="center"/>
        <w:rPr>
          <w:rFonts w:ascii="Arial" w:hAnsi="Arial" w:cs="Arial"/>
          <w:sz w:val="22"/>
          <w:szCs w:val="22"/>
        </w:rPr>
      </w:pPr>
      <w:r w:rsidRPr="00816FC4">
        <w:rPr>
          <w:rFonts w:ascii="Arial" w:hAnsi="Arial" w:cs="Arial"/>
          <w:sz w:val="22"/>
          <w:szCs w:val="22"/>
        </w:rPr>
        <w:t>preferably by e-mail:</w:t>
      </w:r>
      <w:r w:rsidRPr="00816FC4">
        <w:rPr>
          <w:rFonts w:ascii="Arial" w:hAnsi="Arial" w:cs="Arial"/>
          <w:sz w:val="22"/>
          <w:szCs w:val="22"/>
        </w:rPr>
        <w:tab/>
      </w:r>
      <w:hyperlink r:id="rId7" w:history="1">
        <w:r w:rsidRPr="00816FC4">
          <w:rPr>
            <w:rStyle w:val="Hyperlink"/>
            <w:sz w:val="22"/>
            <w:szCs w:val="22"/>
          </w:rPr>
          <w:t>thomas.weber@eco.cept.org</w:t>
        </w:r>
      </w:hyperlink>
    </w:p>
    <w:p w:rsidR="005D519B" w:rsidRPr="00816FC4" w:rsidRDefault="005D519B" w:rsidP="007A6BD2">
      <w:pPr>
        <w:spacing w:line="360" w:lineRule="auto"/>
        <w:ind w:left="720"/>
        <w:jc w:val="center"/>
        <w:rPr>
          <w:rFonts w:ascii="Arial" w:hAnsi="Arial" w:cs="Arial"/>
          <w:sz w:val="22"/>
          <w:szCs w:val="22"/>
        </w:rPr>
      </w:pPr>
      <w:r w:rsidRPr="00816FC4">
        <w:rPr>
          <w:rFonts w:ascii="Arial" w:hAnsi="Arial" w:cs="Arial"/>
          <w:sz w:val="22"/>
          <w:szCs w:val="22"/>
        </w:rPr>
        <w:t>or</w:t>
      </w:r>
    </w:p>
    <w:p w:rsidR="005D519B" w:rsidRPr="00816FC4" w:rsidRDefault="005D519B" w:rsidP="007A6BD2">
      <w:pPr>
        <w:spacing w:line="360" w:lineRule="auto"/>
        <w:ind w:left="720"/>
        <w:jc w:val="center"/>
        <w:rPr>
          <w:rFonts w:ascii="Arial" w:hAnsi="Arial" w:cs="Arial"/>
          <w:sz w:val="22"/>
          <w:szCs w:val="22"/>
        </w:rPr>
      </w:pPr>
      <w:r w:rsidRPr="00816FC4">
        <w:rPr>
          <w:rFonts w:ascii="Arial" w:hAnsi="Arial" w:cs="Arial"/>
          <w:sz w:val="22"/>
          <w:szCs w:val="22"/>
        </w:rPr>
        <w:t>by fax:</w:t>
      </w:r>
      <w:r w:rsidRPr="00816FC4">
        <w:rPr>
          <w:rFonts w:ascii="Arial" w:hAnsi="Arial" w:cs="Arial"/>
          <w:sz w:val="22"/>
          <w:szCs w:val="22"/>
        </w:rPr>
        <w:tab/>
      </w:r>
      <w:r w:rsidRPr="00816FC4">
        <w:rPr>
          <w:rFonts w:ascii="Arial" w:hAnsi="Arial" w:cs="Arial"/>
          <w:sz w:val="22"/>
          <w:szCs w:val="22"/>
        </w:rPr>
        <w:tab/>
      </w:r>
      <w:r w:rsidRPr="00816FC4">
        <w:rPr>
          <w:rFonts w:ascii="Arial" w:hAnsi="Arial" w:cs="Arial"/>
          <w:sz w:val="22"/>
          <w:szCs w:val="22"/>
        </w:rPr>
        <w:tab/>
      </w:r>
      <w:r w:rsidRPr="00816FC4">
        <w:rPr>
          <w:rFonts w:ascii="Arial" w:hAnsi="Arial" w:cs="Arial"/>
          <w:bCs/>
          <w:sz w:val="22"/>
          <w:szCs w:val="22"/>
        </w:rPr>
        <w:t>+45 33 89 63 30</w:t>
      </w:r>
    </w:p>
    <w:p w:rsidR="005D519B" w:rsidRPr="00816FC4" w:rsidRDefault="005D519B" w:rsidP="007A6BD2">
      <w:pPr>
        <w:spacing w:line="360" w:lineRule="auto"/>
        <w:ind w:left="720"/>
        <w:rPr>
          <w:rFonts w:ascii="Arial" w:hAnsi="Arial" w:cs="Arial"/>
          <w:i/>
          <w:iCs/>
          <w:sz w:val="22"/>
          <w:szCs w:val="22"/>
        </w:rPr>
      </w:pPr>
    </w:p>
    <w:p w:rsidR="005D519B" w:rsidRPr="00816FC4" w:rsidRDefault="005D519B" w:rsidP="007A6BD2">
      <w:pPr>
        <w:spacing w:line="360" w:lineRule="auto"/>
        <w:rPr>
          <w:rFonts w:ascii="Arial" w:hAnsi="Arial" w:cs="Arial"/>
          <w:sz w:val="22"/>
          <w:szCs w:val="22"/>
        </w:rPr>
      </w:pPr>
      <w:r w:rsidRPr="00816FC4">
        <w:rPr>
          <w:rFonts w:ascii="Arial" w:hAnsi="Arial" w:cs="Arial"/>
          <w:sz w:val="22"/>
          <w:szCs w:val="22"/>
        </w:rPr>
        <w:t>Thank you for your cooperation.</w:t>
      </w:r>
    </w:p>
    <w:p w:rsidR="005D519B" w:rsidRDefault="005D519B" w:rsidP="007A6BD2">
      <w:pPr>
        <w:tabs>
          <w:tab w:val="left" w:pos="1155"/>
        </w:tabs>
        <w:rPr>
          <w:sz w:val="24"/>
          <w:szCs w:val="24"/>
          <w:lang w:eastAsia="fr-FR"/>
        </w:rPr>
      </w:pPr>
      <w:r>
        <w:rPr>
          <w:sz w:val="24"/>
          <w:szCs w:val="24"/>
          <w:lang w:eastAsia="fr-FR"/>
        </w:rPr>
        <w:tab/>
      </w:r>
    </w:p>
    <w:p w:rsidR="005D519B" w:rsidRDefault="005D519B" w:rsidP="007A6BD2">
      <w:pPr>
        <w:tabs>
          <w:tab w:val="left" w:pos="1155"/>
        </w:tabs>
        <w:rPr>
          <w:sz w:val="24"/>
          <w:szCs w:val="24"/>
          <w:lang w:eastAsia="fr-FR"/>
        </w:rPr>
      </w:pPr>
      <w:r>
        <w:rPr>
          <w:sz w:val="24"/>
          <w:szCs w:val="24"/>
          <w:lang w:eastAsia="fr-FR"/>
        </w:rPr>
        <w:br w:type="page"/>
      </w:r>
    </w:p>
    <w:p w:rsidR="005D519B" w:rsidRPr="009348A8" w:rsidRDefault="005D519B" w:rsidP="007A6BD2">
      <w:pPr>
        <w:rPr>
          <w:sz w:val="24"/>
          <w:szCs w:val="24"/>
          <w:lang w:eastAsia="fr-FR"/>
        </w:rPr>
      </w:pPr>
    </w:p>
    <w:p w:rsidR="005D519B" w:rsidRPr="009348A8" w:rsidRDefault="005D519B" w:rsidP="007A6BD2">
      <w:pPr>
        <w:rPr>
          <w:b/>
          <w:sz w:val="24"/>
          <w:szCs w:val="24"/>
          <w:u w:val="single"/>
          <w:lang w:eastAsia="fr-FR"/>
        </w:rPr>
      </w:pPr>
      <w:r w:rsidRPr="009348A8">
        <w:rPr>
          <w:b/>
          <w:sz w:val="24"/>
          <w:szCs w:val="24"/>
          <w:u w:val="single"/>
          <w:lang w:eastAsia="fr-FR"/>
        </w:rPr>
        <w:t>Introduction:</w:t>
      </w:r>
    </w:p>
    <w:p w:rsidR="005D519B" w:rsidRPr="009348A8" w:rsidRDefault="005D519B" w:rsidP="007A6BD2">
      <w:pPr>
        <w:rPr>
          <w:sz w:val="24"/>
          <w:szCs w:val="24"/>
          <w:lang w:eastAsia="fr-FR"/>
        </w:rPr>
      </w:pPr>
    </w:p>
    <w:p w:rsidR="005D519B" w:rsidRPr="009348A8" w:rsidRDefault="005D519B" w:rsidP="007A6BD2">
      <w:pPr>
        <w:rPr>
          <w:sz w:val="24"/>
          <w:szCs w:val="24"/>
          <w:lang w:eastAsia="fr-FR"/>
        </w:rPr>
      </w:pPr>
      <w:r w:rsidRPr="009348A8">
        <w:rPr>
          <w:sz w:val="24"/>
          <w:szCs w:val="24"/>
          <w:lang w:eastAsia="fr-FR"/>
        </w:rPr>
        <w:t>During the 71</w:t>
      </w:r>
      <w:r w:rsidRPr="009348A8">
        <w:rPr>
          <w:sz w:val="24"/>
          <w:szCs w:val="24"/>
          <w:vertAlign w:val="superscript"/>
          <w:lang w:eastAsia="fr-FR"/>
        </w:rPr>
        <w:t>st</w:t>
      </w:r>
      <w:r w:rsidRPr="009348A8">
        <w:rPr>
          <w:sz w:val="24"/>
          <w:szCs w:val="24"/>
          <w:lang w:eastAsia="fr-FR"/>
        </w:rPr>
        <w:t xml:space="preserve"> meeting of WGFM, 31</w:t>
      </w:r>
      <w:r w:rsidRPr="009348A8">
        <w:rPr>
          <w:sz w:val="24"/>
          <w:szCs w:val="24"/>
          <w:vertAlign w:val="superscript"/>
          <w:lang w:eastAsia="fr-FR"/>
        </w:rPr>
        <w:t>st</w:t>
      </w:r>
      <w:r w:rsidRPr="009348A8">
        <w:rPr>
          <w:sz w:val="24"/>
          <w:szCs w:val="24"/>
          <w:lang w:eastAsia="fr-FR"/>
        </w:rPr>
        <w:t xml:space="preserve"> January – 4</w:t>
      </w:r>
      <w:r w:rsidRPr="009348A8">
        <w:rPr>
          <w:sz w:val="24"/>
          <w:szCs w:val="24"/>
          <w:vertAlign w:val="superscript"/>
          <w:lang w:eastAsia="fr-FR"/>
        </w:rPr>
        <w:t>th</w:t>
      </w:r>
      <w:r w:rsidRPr="009348A8">
        <w:rPr>
          <w:sz w:val="24"/>
          <w:szCs w:val="24"/>
          <w:lang w:eastAsia="fr-FR"/>
        </w:rPr>
        <w:t xml:space="preserve"> February 2011, it was decided to </w:t>
      </w:r>
      <w:r>
        <w:rPr>
          <w:sz w:val="24"/>
          <w:szCs w:val="24"/>
          <w:lang w:eastAsia="fr-FR"/>
        </w:rPr>
        <w:t>task</w:t>
      </w:r>
      <w:r w:rsidRPr="009348A8">
        <w:rPr>
          <w:sz w:val="24"/>
          <w:szCs w:val="24"/>
          <w:lang w:eastAsia="fr-FR"/>
        </w:rPr>
        <w:t xml:space="preserve"> CG CRS to work on regulatory consideration on the protection of PMSE on the basis of section D.1 of Chapter 11 of ECC Report 159</w:t>
      </w:r>
      <w:r>
        <w:rPr>
          <w:sz w:val="24"/>
          <w:szCs w:val="24"/>
          <w:lang w:eastAsia="fr-FR"/>
        </w:rPr>
        <w:t>. (</w:t>
      </w:r>
      <w:r w:rsidRPr="00816FC4">
        <w:rPr>
          <w:color w:val="0000FF"/>
          <w:sz w:val="24"/>
          <w:szCs w:val="24"/>
          <w:lang w:eastAsia="fr-FR"/>
        </w:rPr>
        <w:t>http://www.erodocdb.dk/Docs/doc98/official/Word/ECCREP159.DOCX</w:t>
      </w:r>
      <w:r>
        <w:rPr>
          <w:sz w:val="24"/>
          <w:szCs w:val="24"/>
          <w:lang w:eastAsia="fr-FR"/>
        </w:rPr>
        <w:t>)</w:t>
      </w:r>
      <w:r w:rsidRPr="009348A8">
        <w:rPr>
          <w:sz w:val="24"/>
          <w:szCs w:val="24"/>
          <w:lang w:eastAsia="fr-FR"/>
        </w:rPr>
        <w:t>.</w:t>
      </w:r>
    </w:p>
    <w:p w:rsidR="005D519B" w:rsidRPr="009348A8" w:rsidRDefault="005D519B" w:rsidP="007A6BD2">
      <w:pPr>
        <w:rPr>
          <w:sz w:val="24"/>
          <w:szCs w:val="24"/>
          <w:lang w:eastAsia="fr-FR"/>
        </w:rPr>
      </w:pPr>
    </w:p>
    <w:p w:rsidR="005D519B" w:rsidRPr="009348A8" w:rsidRDefault="005D519B" w:rsidP="007A6BD2">
      <w:pPr>
        <w:rPr>
          <w:sz w:val="24"/>
          <w:szCs w:val="24"/>
          <w:lang w:eastAsia="fr-FR"/>
        </w:rPr>
      </w:pPr>
      <w:r w:rsidRPr="009348A8">
        <w:rPr>
          <w:sz w:val="24"/>
          <w:szCs w:val="24"/>
          <w:lang w:eastAsia="fr-FR"/>
        </w:rPr>
        <w:t>This section D.1 states:</w:t>
      </w:r>
    </w:p>
    <w:p w:rsidR="005D519B" w:rsidRPr="009348A8" w:rsidRDefault="005D519B" w:rsidP="007A6BD2">
      <w:pPr>
        <w:rPr>
          <w:sz w:val="24"/>
          <w:szCs w:val="24"/>
          <w:lang w:eastAsia="fr-FR"/>
        </w:rPr>
      </w:pPr>
    </w:p>
    <w:p w:rsidR="005D519B" w:rsidRPr="009348A8" w:rsidRDefault="005D519B" w:rsidP="007A6BD2">
      <w:pPr>
        <w:rPr>
          <w:b/>
          <w:bCs/>
          <w:i/>
          <w:sz w:val="24"/>
          <w:szCs w:val="24"/>
          <w:lang w:eastAsia="fr-FR"/>
        </w:rPr>
      </w:pPr>
      <w:r w:rsidRPr="009348A8">
        <w:rPr>
          <w:b/>
          <w:bCs/>
          <w:i/>
          <w:sz w:val="24"/>
          <w:szCs w:val="24"/>
          <w:lang w:eastAsia="fr-FR"/>
        </w:rPr>
        <w:t>D.</w:t>
      </w:r>
      <w:r w:rsidRPr="009348A8">
        <w:rPr>
          <w:b/>
          <w:bCs/>
          <w:i/>
          <w:sz w:val="24"/>
          <w:szCs w:val="24"/>
          <w:lang w:eastAsia="fr-FR"/>
        </w:rPr>
        <w:tab/>
        <w:t>Regulatory consideration on the protection of PMSE</w:t>
      </w:r>
    </w:p>
    <w:p w:rsidR="005D519B" w:rsidRPr="009348A8" w:rsidRDefault="005D519B" w:rsidP="007A6BD2">
      <w:pPr>
        <w:rPr>
          <w:i/>
          <w:sz w:val="24"/>
          <w:szCs w:val="24"/>
          <w:lang w:eastAsia="fr-FR"/>
        </w:rPr>
      </w:pPr>
      <w:r w:rsidRPr="009348A8">
        <w:rPr>
          <w:b/>
          <w:bCs/>
          <w:i/>
          <w:sz w:val="24"/>
          <w:szCs w:val="24"/>
          <w:lang w:eastAsia="fr-FR"/>
        </w:rPr>
        <w:t>D.1</w:t>
      </w:r>
      <w:r w:rsidRPr="009348A8">
        <w:rPr>
          <w:b/>
          <w:bCs/>
          <w:i/>
          <w:sz w:val="24"/>
          <w:szCs w:val="24"/>
          <w:lang w:eastAsia="fr-FR"/>
        </w:rPr>
        <w:tab/>
      </w:r>
      <w:r w:rsidRPr="009348A8">
        <w:rPr>
          <w:bCs/>
          <w:i/>
          <w:sz w:val="24"/>
          <w:szCs w:val="24"/>
          <w:lang w:eastAsia="fr-FR"/>
        </w:rPr>
        <w:t>The approaches to protect PMSE services from WSD</w:t>
      </w:r>
      <w:r w:rsidRPr="009348A8">
        <w:rPr>
          <w:bCs/>
          <w:i/>
          <w:sz w:val="24"/>
          <w:szCs w:val="24"/>
          <w:vertAlign w:val="superscript"/>
          <w:lang w:eastAsia="fr-FR"/>
        </w:rPr>
        <w:footnoteReference w:id="2"/>
      </w:r>
      <w:r w:rsidRPr="009348A8">
        <w:rPr>
          <w:bCs/>
          <w:i/>
          <w:sz w:val="24"/>
          <w:szCs w:val="24"/>
          <w:lang w:eastAsia="fr-FR"/>
        </w:rPr>
        <w:t xml:space="preserve"> interference need to be identified in accordance with the regulatory regimes employed by different administrations. Specifically, there is a need for further investigation related to the development of </w:t>
      </w:r>
      <w:r w:rsidRPr="009348A8">
        <w:rPr>
          <w:i/>
          <w:iCs/>
          <w:sz w:val="24"/>
          <w:szCs w:val="24"/>
          <w:lang w:val="en-US" w:eastAsia="fr-FR"/>
        </w:rPr>
        <w:t>a "package solution" that covers a number of tools from which individual countries can choose, such as registration of PMSE in the database and safe-harbour solution.</w:t>
      </w:r>
      <w:r w:rsidRPr="009348A8">
        <w:rPr>
          <w:bCs/>
          <w:i/>
          <w:sz w:val="24"/>
          <w:szCs w:val="24"/>
          <w:lang w:eastAsia="fr-FR"/>
        </w:rPr>
        <w:t xml:space="preserve"> </w:t>
      </w:r>
    </w:p>
    <w:p w:rsidR="005D519B" w:rsidRPr="009348A8" w:rsidRDefault="005D519B" w:rsidP="007A6BD2">
      <w:pPr>
        <w:rPr>
          <w:sz w:val="24"/>
          <w:szCs w:val="24"/>
          <w:lang w:eastAsia="fr-FR"/>
        </w:rPr>
      </w:pPr>
    </w:p>
    <w:p w:rsidR="005D519B" w:rsidRPr="009348A8" w:rsidRDefault="005D519B" w:rsidP="007A6BD2">
      <w:pPr>
        <w:rPr>
          <w:b/>
          <w:sz w:val="24"/>
          <w:szCs w:val="24"/>
          <w:u w:val="single"/>
          <w:lang w:eastAsia="fr-FR"/>
        </w:rPr>
      </w:pPr>
      <w:r>
        <w:rPr>
          <w:b/>
          <w:sz w:val="24"/>
          <w:szCs w:val="24"/>
          <w:u w:val="single"/>
          <w:lang w:eastAsia="fr-FR"/>
        </w:rPr>
        <w:t>Questionnaire</w:t>
      </w:r>
      <w:r w:rsidRPr="009348A8">
        <w:rPr>
          <w:b/>
          <w:sz w:val="24"/>
          <w:szCs w:val="24"/>
          <w:u w:val="single"/>
          <w:lang w:eastAsia="fr-FR"/>
        </w:rPr>
        <w:t>:</w:t>
      </w:r>
    </w:p>
    <w:p w:rsidR="005D519B" w:rsidRPr="009348A8" w:rsidRDefault="005D519B" w:rsidP="007A6BD2">
      <w:pPr>
        <w:rPr>
          <w:sz w:val="24"/>
          <w:szCs w:val="24"/>
          <w:lang w:eastAsia="fr-FR"/>
        </w:rPr>
      </w:pPr>
    </w:p>
    <w:p w:rsidR="005D519B" w:rsidRPr="009348A8" w:rsidRDefault="005D519B" w:rsidP="007A6BD2">
      <w:pPr>
        <w:rPr>
          <w:sz w:val="24"/>
          <w:szCs w:val="24"/>
          <w:lang w:eastAsia="fr-FR"/>
        </w:rPr>
      </w:pPr>
      <w:r w:rsidRPr="009348A8">
        <w:rPr>
          <w:sz w:val="24"/>
          <w:szCs w:val="24"/>
          <w:lang w:eastAsia="fr-FR"/>
        </w:rPr>
        <w:t>It is considered necessary, as a first step, to have a broader view on the va</w:t>
      </w:r>
      <w:r>
        <w:rPr>
          <w:sz w:val="24"/>
          <w:szCs w:val="24"/>
          <w:lang w:eastAsia="fr-FR"/>
        </w:rPr>
        <w:t>rious approaches from the CEPT a</w:t>
      </w:r>
      <w:r w:rsidRPr="009348A8">
        <w:rPr>
          <w:sz w:val="24"/>
          <w:szCs w:val="24"/>
          <w:lang w:eastAsia="fr-FR"/>
        </w:rPr>
        <w:t xml:space="preserve">dministrations to ensure the use of PMSE in the 470-790 MHz band. To reach this objective, </w:t>
      </w:r>
      <w:r>
        <w:rPr>
          <w:sz w:val="24"/>
          <w:szCs w:val="24"/>
          <w:lang w:eastAsia="fr-FR"/>
        </w:rPr>
        <w:t>a</w:t>
      </w:r>
      <w:r w:rsidRPr="009348A8">
        <w:rPr>
          <w:sz w:val="24"/>
          <w:szCs w:val="24"/>
          <w:lang w:eastAsia="fr-FR"/>
        </w:rPr>
        <w:t xml:space="preserve">dministrations and Industry </w:t>
      </w:r>
      <w:r>
        <w:rPr>
          <w:sz w:val="24"/>
          <w:szCs w:val="24"/>
          <w:lang w:eastAsia="fr-FR"/>
        </w:rPr>
        <w:t>are invited to answer the following questions</w:t>
      </w:r>
      <w:r w:rsidRPr="009348A8">
        <w:rPr>
          <w:sz w:val="24"/>
          <w:szCs w:val="24"/>
          <w:lang w:eastAsia="fr-FR"/>
        </w:rPr>
        <w:t>.</w:t>
      </w:r>
    </w:p>
    <w:p w:rsidR="005D519B" w:rsidRDefault="005D519B" w:rsidP="007A6BD2">
      <w:pPr>
        <w:rPr>
          <w:sz w:val="24"/>
          <w:szCs w:val="24"/>
          <w:lang w:eastAsia="fr-FR"/>
        </w:rPr>
      </w:pPr>
    </w:p>
    <w:p w:rsidR="005D519B" w:rsidRDefault="005D519B" w:rsidP="007A6BD2">
      <w:pPr>
        <w:rPr>
          <w:sz w:val="24"/>
          <w:szCs w:val="24"/>
          <w:lang w:eastAsia="fr-FR"/>
        </w:rPr>
      </w:pPr>
      <w:r>
        <w:rPr>
          <w:sz w:val="24"/>
          <w:szCs w:val="24"/>
          <w:lang w:eastAsia="fr-FR"/>
        </w:rPr>
        <w:br w:type="page"/>
      </w:r>
    </w:p>
    <w:p w:rsidR="005D519B" w:rsidRPr="009348A8" w:rsidRDefault="005D519B" w:rsidP="007A6BD2">
      <w:pPr>
        <w:rPr>
          <w:sz w:val="24"/>
          <w:szCs w:val="24"/>
          <w:lang w:eastAsia="fr-FR"/>
        </w:rPr>
      </w:pPr>
    </w:p>
    <w:p w:rsidR="005D519B" w:rsidRPr="006156F3" w:rsidRDefault="005D519B" w:rsidP="007A6BD2">
      <w:pPr>
        <w:rPr>
          <w:b/>
          <w:i/>
          <w:sz w:val="24"/>
          <w:szCs w:val="24"/>
          <w:u w:val="single"/>
          <w:lang w:eastAsia="fr-FR"/>
        </w:rPr>
      </w:pPr>
      <w:r w:rsidRPr="006156F3">
        <w:rPr>
          <w:b/>
          <w:i/>
          <w:sz w:val="24"/>
          <w:szCs w:val="24"/>
          <w:u w:val="single"/>
          <w:lang w:eastAsia="fr-FR"/>
        </w:rPr>
        <w:t>Section</w:t>
      </w:r>
      <w:r>
        <w:rPr>
          <w:b/>
          <w:i/>
          <w:sz w:val="24"/>
          <w:szCs w:val="24"/>
          <w:u w:val="single"/>
          <w:lang w:eastAsia="fr-FR"/>
        </w:rPr>
        <w:t xml:space="preserve"> A  for a</w:t>
      </w:r>
      <w:r w:rsidRPr="006156F3">
        <w:rPr>
          <w:b/>
          <w:i/>
          <w:sz w:val="24"/>
          <w:szCs w:val="24"/>
          <w:u w:val="single"/>
          <w:lang w:eastAsia="fr-FR"/>
        </w:rPr>
        <w:t>dministrations:</w:t>
      </w:r>
    </w:p>
    <w:p w:rsidR="005D519B" w:rsidRDefault="005D519B" w:rsidP="007A6BD2">
      <w:pPr>
        <w:rPr>
          <w:b/>
          <w:sz w:val="24"/>
          <w:szCs w:val="24"/>
          <w:lang w:eastAsia="fr-FR"/>
        </w:rPr>
      </w:pPr>
    </w:p>
    <w:p w:rsidR="005D519B" w:rsidRPr="00F370D1" w:rsidRDefault="005D519B" w:rsidP="007A6BD2">
      <w:pPr>
        <w:rPr>
          <w:b/>
          <w:color w:val="00B0F0"/>
          <w:sz w:val="24"/>
          <w:szCs w:val="24"/>
          <w:lang w:eastAsia="fr-FR"/>
        </w:rPr>
      </w:pPr>
      <w:r w:rsidRPr="00F370D1">
        <w:rPr>
          <w:b/>
          <w:color w:val="00B0F0"/>
          <w:sz w:val="24"/>
          <w:szCs w:val="24"/>
          <w:lang w:eastAsia="fr-FR"/>
        </w:rPr>
        <w:t>In this section we provided some background info on how the FCC regulates PMSE spectrum in the U.S.</w:t>
      </w:r>
    </w:p>
    <w:p w:rsidR="005D519B" w:rsidRDefault="005D519B" w:rsidP="007A6BD2">
      <w:pPr>
        <w:rPr>
          <w:b/>
          <w:sz w:val="24"/>
          <w:szCs w:val="24"/>
          <w:lang w:eastAsia="fr-FR"/>
        </w:rPr>
      </w:pPr>
    </w:p>
    <w:p w:rsidR="005D519B" w:rsidRPr="009348A8" w:rsidRDefault="005D519B" w:rsidP="007A6BD2">
      <w:pPr>
        <w:numPr>
          <w:ilvl w:val="0"/>
          <w:numId w:val="1"/>
        </w:numPr>
        <w:rPr>
          <w:sz w:val="24"/>
          <w:szCs w:val="24"/>
          <w:lang w:eastAsia="fr-FR"/>
        </w:rPr>
      </w:pPr>
      <w:r w:rsidRPr="009348A8">
        <w:rPr>
          <w:sz w:val="24"/>
          <w:szCs w:val="24"/>
          <w:lang w:eastAsia="fr-FR"/>
        </w:rPr>
        <w:t xml:space="preserve">Before the TV switchover </w:t>
      </w:r>
      <w:r>
        <w:rPr>
          <w:sz w:val="24"/>
          <w:szCs w:val="24"/>
          <w:lang w:eastAsia="fr-FR"/>
        </w:rPr>
        <w:t xml:space="preserve">from analogue to digital </w:t>
      </w:r>
      <w:r w:rsidRPr="009348A8">
        <w:rPr>
          <w:sz w:val="24"/>
          <w:szCs w:val="24"/>
          <w:lang w:eastAsia="fr-FR"/>
        </w:rPr>
        <w:t>in your country:</w:t>
      </w:r>
    </w:p>
    <w:p w:rsidR="005D519B" w:rsidRPr="00B028D9" w:rsidRDefault="005D519B" w:rsidP="007A6BD2">
      <w:pPr>
        <w:rPr>
          <w:rFonts w:ascii="Arial" w:hAnsi="Arial" w:cs="Arial"/>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Do you, or did you, authorise the use of the 470-862 MHz band for PMSE</w:t>
            </w:r>
            <w:r>
              <w:rPr>
                <w:sz w:val="24"/>
                <w:szCs w:val="24"/>
                <w:lang w:eastAsia="fr-FR"/>
              </w:rPr>
              <w:t xml:space="preserve"> applications</w:t>
            </w:r>
            <w:r w:rsidRPr="009348A8">
              <w:rPr>
                <w:sz w:val="24"/>
                <w:szCs w:val="24"/>
                <w:lang w:eastAsia="fr-FR"/>
              </w:rPr>
              <w:t>?</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In the U.S., the 470-806 MHz band was available for PMSE until the digital switchover, which ended 12 June, 2010. After the switchover, the PMSE/TV broadcast band was reduced to 470-698 MHz because the 698-806 MHz band was reallocated to other services.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Prior to the digital switchover, PMSE operation was officially only allowed by individual authorization (licensed operation). </w:t>
            </w:r>
          </w:p>
        </w:tc>
      </w:tr>
    </w:tbl>
    <w:p w:rsidR="005D519B" w:rsidRDefault="005D519B" w:rsidP="007A6BD2">
      <w:pPr>
        <w:rPr>
          <w:rFonts w:ascii="Arial" w:hAnsi="Arial" w:cs="Arial"/>
          <w:szCs w:val="22"/>
        </w:rPr>
      </w:pPr>
    </w:p>
    <w:p w:rsidR="005D519B" w:rsidRPr="00B028D9" w:rsidRDefault="005D519B" w:rsidP="007A6BD2">
      <w:pPr>
        <w:rPr>
          <w:rFonts w:ascii="Arial" w:hAnsi="Arial" w:cs="Arial"/>
          <w:szCs w:val="22"/>
        </w:rPr>
      </w:pPr>
    </w:p>
    <w:p w:rsidR="005D519B" w:rsidRDefault="005D519B" w:rsidP="007A6BD2">
      <w:pPr>
        <w:numPr>
          <w:ilvl w:val="0"/>
          <w:numId w:val="1"/>
        </w:numPr>
        <w:rPr>
          <w:sz w:val="24"/>
          <w:szCs w:val="24"/>
          <w:lang w:eastAsia="fr-FR"/>
        </w:rPr>
      </w:pPr>
      <w:r w:rsidRPr="009348A8">
        <w:rPr>
          <w:sz w:val="24"/>
          <w:szCs w:val="24"/>
          <w:lang w:eastAsia="fr-FR"/>
        </w:rPr>
        <w:t xml:space="preserve">After the TV switchover </w:t>
      </w:r>
      <w:r>
        <w:rPr>
          <w:sz w:val="24"/>
          <w:szCs w:val="24"/>
          <w:lang w:eastAsia="fr-FR"/>
        </w:rPr>
        <w:t xml:space="preserve">from analogue to digital </w:t>
      </w:r>
      <w:r w:rsidRPr="009348A8">
        <w:rPr>
          <w:sz w:val="24"/>
          <w:szCs w:val="24"/>
          <w:lang w:eastAsia="fr-FR"/>
        </w:rPr>
        <w:t>in your country:</w:t>
      </w:r>
    </w:p>
    <w:p w:rsidR="005D519B" w:rsidRPr="009348A8"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Do you, or will you, authorise the use of the 470-790 MHz band for PMSE</w:t>
            </w:r>
            <w:r w:rsidRPr="001608F2">
              <w:rPr>
                <w:sz w:val="24"/>
                <w:szCs w:val="24"/>
                <w:lang w:eastAsia="fr-FR"/>
              </w:rPr>
              <w:t xml:space="preserve"> </w:t>
            </w:r>
            <w:r>
              <w:rPr>
                <w:sz w:val="24"/>
                <w:szCs w:val="24"/>
                <w:lang w:eastAsia="fr-FR"/>
              </w:rPr>
              <w:t>applications</w:t>
            </w:r>
            <w:r w:rsidRPr="009348A8">
              <w:rPr>
                <w:sz w:val="24"/>
                <w:szCs w:val="24"/>
                <w:lang w:eastAsia="fr-FR"/>
              </w:rPr>
              <w:t>?</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Currently in the U.S. the 470-698 MHz band remains available for PMSE use on an interleaved basis. There will also be two dedicated 6 MHz “safe harbour” channels for PMSE in each market; to be specified.</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Under which regime? (Individual authorisation? General authorisation?</w:t>
            </w:r>
            <w:r>
              <w:rPr>
                <w:sz w:val="24"/>
                <w:szCs w:val="24"/>
                <w:lang w:eastAsia="fr-FR"/>
              </w:rPr>
              <w:t xml:space="preserve"> License exemption?</w:t>
            </w:r>
            <w:r w:rsidRPr="009348A8">
              <w:rPr>
                <w:sz w:val="24"/>
                <w:szCs w:val="24"/>
                <w:lang w:eastAsia="fr-FR"/>
              </w:rPr>
              <w:t>)</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The FCC now allows unlicensed operation in the U.S. under a general authorization (Part 15), but licenses can still be obtained by those who qualify for them (e.g., broadcasters). Licensed PMSE systems are able to receive protection immediately upon registration with a database. </w:t>
            </w:r>
          </w:p>
        </w:tc>
      </w:tr>
    </w:tbl>
    <w:p w:rsidR="005D519B" w:rsidRPr="009348A8" w:rsidRDefault="005D519B" w:rsidP="007A6BD2">
      <w:pPr>
        <w:rPr>
          <w:sz w:val="24"/>
          <w:szCs w:val="24"/>
          <w:lang w:eastAsia="fr-FR"/>
        </w:rPr>
      </w:pPr>
    </w:p>
    <w:p w:rsidR="005D519B" w:rsidRDefault="005D519B" w:rsidP="007A6BD2">
      <w:pPr>
        <w:numPr>
          <w:ilvl w:val="0"/>
          <w:numId w:val="1"/>
        </w:numPr>
        <w:rPr>
          <w:sz w:val="24"/>
          <w:szCs w:val="24"/>
          <w:lang w:eastAsia="fr-FR"/>
        </w:rPr>
      </w:pPr>
      <w:r w:rsidRPr="009348A8">
        <w:rPr>
          <w:sz w:val="24"/>
          <w:szCs w:val="24"/>
          <w:lang w:eastAsia="fr-FR"/>
        </w:rPr>
        <w:t>Do you envisage the introduction of white space devices in the 470-790 MHz band?</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6156F3" w:rsidRDefault="005D519B" w:rsidP="00922652">
            <w:pPr>
              <w:rPr>
                <w:rFonts w:ascii="Arial" w:hAnsi="Arial" w:cs="Arial"/>
              </w:rPr>
            </w:pPr>
            <w:r w:rsidRPr="006156F3">
              <w:rPr>
                <w:rFonts w:ascii="Arial" w:hAnsi="Arial" w:cs="Arial"/>
              </w:rPr>
              <w:t xml:space="preserve">Yes / No </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Yes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Could you explain your choice?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Plans for introduction are well advanced; new devices are expected to be on the market in the U.S. by late 2010 or early 2011.</w:t>
            </w:r>
          </w:p>
        </w:tc>
      </w:tr>
    </w:tbl>
    <w:p w:rsidR="005D519B" w:rsidRDefault="005D519B" w:rsidP="007A6BD2">
      <w:pPr>
        <w:rPr>
          <w:sz w:val="24"/>
          <w:szCs w:val="24"/>
          <w:lang w:eastAsia="fr-FR"/>
        </w:rPr>
      </w:pPr>
    </w:p>
    <w:p w:rsidR="005D519B" w:rsidRPr="009348A8" w:rsidRDefault="005D519B" w:rsidP="007A6BD2">
      <w:pPr>
        <w:rPr>
          <w:sz w:val="24"/>
          <w:szCs w:val="24"/>
          <w:lang w:eastAsia="fr-FR"/>
        </w:rPr>
      </w:pPr>
    </w:p>
    <w:p w:rsidR="005D519B" w:rsidRDefault="005D519B" w:rsidP="007A6BD2">
      <w:pPr>
        <w:numPr>
          <w:ilvl w:val="0"/>
          <w:numId w:val="1"/>
        </w:numPr>
        <w:rPr>
          <w:sz w:val="24"/>
          <w:szCs w:val="24"/>
          <w:lang w:eastAsia="fr-FR"/>
        </w:rPr>
      </w:pPr>
      <w:r w:rsidRPr="009348A8">
        <w:rPr>
          <w:sz w:val="24"/>
          <w:szCs w:val="24"/>
          <w:lang w:eastAsia="fr-FR"/>
        </w:rPr>
        <w:t>Do you currently study, or plan to do it in a short time frame, such introduction?</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6156F3" w:rsidRDefault="005D519B" w:rsidP="00922652">
            <w:pPr>
              <w:rPr>
                <w:rFonts w:ascii="Arial" w:hAnsi="Arial" w:cs="Arial"/>
              </w:rPr>
            </w:pPr>
            <w:r w:rsidRPr="006156F3">
              <w:rPr>
                <w:rFonts w:ascii="Arial" w:hAnsi="Arial" w:cs="Arial"/>
              </w:rPr>
              <w:t xml:space="preserve">Yes / No </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Yes. Final FCC rules for white space devices are expected shortly; rules for database operation are nearly finished.</w:t>
            </w:r>
          </w:p>
        </w:tc>
      </w:tr>
    </w:tbl>
    <w:p w:rsidR="005D519B" w:rsidRPr="009348A8" w:rsidRDefault="005D519B" w:rsidP="007A6BD2">
      <w:pPr>
        <w:rPr>
          <w:sz w:val="24"/>
          <w:szCs w:val="24"/>
          <w:lang w:eastAsia="fr-FR"/>
        </w:rPr>
      </w:pPr>
    </w:p>
    <w:p w:rsidR="005D519B" w:rsidRPr="009348A8" w:rsidRDefault="005D519B" w:rsidP="007A6BD2">
      <w:pPr>
        <w:rPr>
          <w:sz w:val="24"/>
          <w:szCs w:val="24"/>
          <w:lang w:eastAsia="fr-FR"/>
        </w:rPr>
      </w:pPr>
      <w:r>
        <w:rPr>
          <w:sz w:val="24"/>
          <w:szCs w:val="24"/>
          <w:lang w:eastAsia="fr-FR"/>
        </w:rPr>
        <w:br w:type="page"/>
      </w:r>
    </w:p>
    <w:p w:rsidR="005D519B" w:rsidRDefault="005D519B" w:rsidP="007A6BD2">
      <w:pPr>
        <w:numPr>
          <w:ilvl w:val="0"/>
          <w:numId w:val="1"/>
        </w:numPr>
        <w:rPr>
          <w:sz w:val="24"/>
          <w:szCs w:val="24"/>
          <w:lang w:eastAsia="fr-FR"/>
        </w:rPr>
      </w:pPr>
      <w:r w:rsidRPr="009348A8">
        <w:rPr>
          <w:sz w:val="24"/>
          <w:szCs w:val="24"/>
          <w:lang w:eastAsia="fr-FR"/>
        </w:rPr>
        <w:t>If you answered “yes” to question 2 above, do you consider that specific mechanisms (e.g., registration in database(s); channels not used by digital TV reserved for PMSE, also called “safe harbour” in ECC Report 159; cognitive capabilities,…) have to be considered to ensure the protection of PMSE with respect to a potential introduction of WSD?</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Yes / No</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Yes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In the U.S., the FCC will allow both individually licensed and unlicensed microphones to be registered in a database to receive protection from white space device interference. In addition, two safe harbour channels will be specified in each market.</w:t>
            </w:r>
          </w:p>
        </w:tc>
      </w:tr>
      <w:tr w:rsidR="005D519B" w:rsidRPr="00B028D9" w:rsidTr="00922652">
        <w:trPr>
          <w:trHeight w:val="427"/>
        </w:trPr>
        <w:tc>
          <w:tcPr>
            <w:tcW w:w="2802" w:type="dxa"/>
            <w:shd w:val="clear" w:color="auto" w:fill="C0C0C0"/>
            <w:vAlign w:val="center"/>
          </w:tcPr>
          <w:p w:rsidR="005D519B" w:rsidRPr="009348A8" w:rsidRDefault="005D519B" w:rsidP="00922652">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In the U.S. licensed PMSE systems receive protection immediately upon registration with a database. Applications by unlicensed PMSE systems must be reviewed and undergo a 30-day public comment period before protection is received. Additionally, the two TV channels nearest channel 37 in each market that are not used for TV broadcasting will be designated as safe harbour channels and will be reserved for PMSE. White space devices will not be allowed to use these channels. PMSE systems do not need to register to use safe harbor channels. They are available for both licensed and unlicensed use.  </w:t>
            </w:r>
          </w:p>
        </w:tc>
      </w:tr>
    </w:tbl>
    <w:p w:rsidR="005D519B" w:rsidRPr="009348A8" w:rsidRDefault="005D519B" w:rsidP="007A6BD2">
      <w:pPr>
        <w:rPr>
          <w:sz w:val="24"/>
          <w:szCs w:val="24"/>
          <w:lang w:eastAsia="fr-FR"/>
        </w:rPr>
      </w:pPr>
    </w:p>
    <w:p w:rsidR="005D519B" w:rsidRDefault="005D519B" w:rsidP="007A6BD2">
      <w:pPr>
        <w:ind w:left="360"/>
        <w:rPr>
          <w:sz w:val="24"/>
          <w:szCs w:val="24"/>
          <w:lang w:eastAsia="fr-FR"/>
        </w:rPr>
      </w:pPr>
      <w:r>
        <w:rPr>
          <w:sz w:val="24"/>
          <w:szCs w:val="24"/>
          <w:lang w:eastAsia="fr-FR"/>
        </w:rPr>
        <w:t xml:space="preserve">5a. </w:t>
      </w:r>
      <w:r w:rsidRPr="009348A8">
        <w:rPr>
          <w:sz w:val="24"/>
          <w:szCs w:val="24"/>
          <w:lang w:eastAsia="fr-FR"/>
        </w:rPr>
        <w:t xml:space="preserve">In case of registration of PMSE in databases: do you foresee to have sufficient information available, to register PMSE operation in a possible geolocation database? </w:t>
      </w:r>
    </w:p>
    <w:p w:rsidR="005D519B" w:rsidRDefault="005D519B" w:rsidP="007A6BD2">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Yes / No</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Yes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If so, which category / type of use of PMSE would be registered and how?</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In the U.S. all categories of PMSE systems can be registered. Applicants must register with a database in advance of protected events. It will be possible to modify registration data if necessary, due to changes in event requirements.</w:t>
            </w:r>
          </w:p>
        </w:tc>
      </w:tr>
    </w:tbl>
    <w:p w:rsidR="005D519B" w:rsidRDefault="005D519B" w:rsidP="007A6BD2">
      <w:pPr>
        <w:rPr>
          <w:sz w:val="24"/>
          <w:szCs w:val="24"/>
          <w:lang w:eastAsia="fr-FR"/>
        </w:rPr>
      </w:pPr>
    </w:p>
    <w:p w:rsidR="005D519B" w:rsidRDefault="005D519B" w:rsidP="007A6BD2">
      <w:pPr>
        <w:ind w:firstLine="360"/>
        <w:rPr>
          <w:sz w:val="24"/>
          <w:szCs w:val="24"/>
          <w:lang w:eastAsia="fr-FR"/>
        </w:rPr>
      </w:pPr>
      <w:r>
        <w:rPr>
          <w:sz w:val="24"/>
          <w:szCs w:val="24"/>
          <w:lang w:eastAsia="fr-FR"/>
        </w:rPr>
        <w:t>5</w:t>
      </w:r>
      <w:r w:rsidRPr="009348A8">
        <w:rPr>
          <w:sz w:val="24"/>
          <w:szCs w:val="24"/>
          <w:lang w:eastAsia="fr-FR"/>
        </w:rPr>
        <w:t xml:space="preserve">b. In case of safe harbour: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H</w:t>
            </w:r>
            <w:r w:rsidRPr="009348A8">
              <w:rPr>
                <w:sz w:val="24"/>
                <w:szCs w:val="24"/>
                <w:lang w:eastAsia="fr-FR"/>
              </w:rPr>
              <w:t>ow many channels would you foresee?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The FCC will designate two safe harbour channels in each U.S. market. Additional protected channels will be available in most markets due to other provisions in the white space technical rules. Specifically, personal/portable white space devices may not operate below TV channel 21 and fixed white space devices may not operate on channels that are directly adjacent to locally occupied TV channels.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sidRPr="009348A8">
              <w:rPr>
                <w:sz w:val="24"/>
                <w:szCs w:val="24"/>
                <w:lang w:eastAsia="fr-FR"/>
              </w:rPr>
              <w:t>Would they be regional wide / nation wide?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The safe harbour channels will be designated on a “per market” basis (approximately the same as the corresponding metropolitan areas).</w:t>
            </w:r>
          </w:p>
        </w:tc>
      </w:tr>
    </w:tbl>
    <w:p w:rsidR="005D519B" w:rsidRDefault="005D519B" w:rsidP="007A6BD2">
      <w:pPr>
        <w:rPr>
          <w:sz w:val="24"/>
          <w:szCs w:val="24"/>
          <w:lang w:eastAsia="fr-FR"/>
        </w:rPr>
      </w:pPr>
    </w:p>
    <w:p w:rsidR="005D519B" w:rsidRDefault="005D519B" w:rsidP="007A6BD2">
      <w:pPr>
        <w:ind w:firstLine="360"/>
        <w:rPr>
          <w:sz w:val="24"/>
          <w:szCs w:val="24"/>
          <w:lang w:eastAsia="fr-FR"/>
        </w:rPr>
      </w:pPr>
      <w:r>
        <w:rPr>
          <w:sz w:val="24"/>
          <w:szCs w:val="24"/>
          <w:lang w:eastAsia="fr-FR"/>
        </w:rPr>
        <w:t>5c</w:t>
      </w:r>
      <w:r w:rsidRPr="009348A8">
        <w:rPr>
          <w:sz w:val="24"/>
          <w:szCs w:val="24"/>
          <w:lang w:eastAsia="fr-FR"/>
        </w:rPr>
        <w:t xml:space="preserve">. </w:t>
      </w:r>
      <w:r>
        <w:rPr>
          <w:sz w:val="24"/>
          <w:szCs w:val="24"/>
          <w:lang w:eastAsia="fr-FR"/>
        </w:rPr>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 xml:space="preserve">-PMSE,…): </w:t>
      </w:r>
    </w:p>
    <w:p w:rsidR="005D519B" w:rsidRDefault="005D519B" w:rsidP="007A6BD2">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please describe.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Beacons are not currently considered to be a viable solution. Cognitive PMSE systems are not yet available in the U.S. market.</w:t>
            </w:r>
          </w:p>
        </w:tc>
      </w:tr>
    </w:tbl>
    <w:p w:rsidR="005D519B" w:rsidRDefault="005D519B" w:rsidP="007A6BD2">
      <w:pPr>
        <w:rPr>
          <w:sz w:val="24"/>
          <w:szCs w:val="24"/>
          <w:lang w:eastAsia="fr-FR"/>
        </w:rPr>
      </w:pPr>
    </w:p>
    <w:p w:rsidR="005D519B" w:rsidRPr="009348A8" w:rsidRDefault="005D519B" w:rsidP="007A6BD2">
      <w:pPr>
        <w:ind w:left="720" w:hanging="360"/>
        <w:rPr>
          <w:sz w:val="24"/>
          <w:szCs w:val="24"/>
          <w:lang w:eastAsia="fr-FR"/>
        </w:rPr>
      </w:pPr>
      <w:r>
        <w:rPr>
          <w:sz w:val="24"/>
          <w:szCs w:val="24"/>
          <w:lang w:eastAsia="fr-FR"/>
        </w:rPr>
        <w:t>5d</w:t>
      </w:r>
      <w:r w:rsidRPr="009348A8">
        <w:rPr>
          <w:sz w:val="24"/>
          <w:szCs w:val="24"/>
          <w:lang w:eastAsia="fr-FR"/>
        </w:rPr>
        <w:t>. Do you consider that any mechanism (e.g., data base, safe harbour, cognitive capabilities,…) have to be considered to ensure the protection of PMSE if no WSD are deployed in the 470-790 MHz band?</w:t>
      </w:r>
    </w:p>
    <w:p w:rsidR="005D519B" w:rsidRDefault="005D519B" w:rsidP="007A6BD2">
      <w:pPr>
        <w:ind w:firstLine="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please describe.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If no WSD were going to be deployed in the TV bands, data bases and safe harbour channels would not be necessary. However, as stated earlier, implementation of WSD in the TV bands is well advanced in the U.S. and their introduction is considered imminent.</w:t>
            </w:r>
          </w:p>
        </w:tc>
      </w:tr>
    </w:tbl>
    <w:p w:rsidR="005D519B" w:rsidRDefault="005D519B" w:rsidP="007A6BD2">
      <w:pPr>
        <w:rPr>
          <w:sz w:val="24"/>
          <w:szCs w:val="24"/>
          <w:lang w:eastAsia="fr-FR"/>
        </w:rPr>
      </w:pPr>
    </w:p>
    <w:p w:rsidR="005D519B" w:rsidRDefault="005D519B" w:rsidP="007A6BD2">
      <w:pPr>
        <w:rPr>
          <w:sz w:val="24"/>
          <w:szCs w:val="24"/>
          <w:lang w:eastAsia="fr-FR"/>
        </w:rPr>
      </w:pPr>
    </w:p>
    <w:p w:rsidR="005D519B" w:rsidRPr="003D0A98" w:rsidRDefault="005D519B" w:rsidP="007A6BD2">
      <w:pPr>
        <w:rPr>
          <w:b/>
          <w:i/>
          <w:sz w:val="24"/>
          <w:szCs w:val="24"/>
          <w:u w:val="single"/>
          <w:lang w:eastAsia="fr-FR"/>
        </w:rPr>
      </w:pPr>
      <w:r>
        <w:rPr>
          <w:sz w:val="24"/>
          <w:szCs w:val="24"/>
          <w:lang w:eastAsia="fr-FR"/>
        </w:rPr>
        <w:br w:type="page"/>
      </w:r>
      <w:r w:rsidRPr="003D0A98">
        <w:rPr>
          <w:b/>
          <w:i/>
          <w:sz w:val="24"/>
          <w:szCs w:val="24"/>
          <w:u w:val="single"/>
          <w:lang w:eastAsia="fr-FR"/>
        </w:rPr>
        <w:t>Section</w:t>
      </w:r>
      <w:r>
        <w:rPr>
          <w:b/>
          <w:i/>
          <w:sz w:val="24"/>
          <w:szCs w:val="24"/>
          <w:u w:val="single"/>
          <w:lang w:eastAsia="fr-FR"/>
        </w:rPr>
        <w:t xml:space="preserve"> B</w:t>
      </w:r>
      <w:r w:rsidRPr="003D0A98">
        <w:rPr>
          <w:b/>
          <w:i/>
          <w:sz w:val="24"/>
          <w:szCs w:val="24"/>
          <w:u w:val="single"/>
          <w:lang w:eastAsia="fr-FR"/>
        </w:rPr>
        <w:t xml:space="preserve"> for Industry and </w:t>
      </w:r>
      <w:r>
        <w:rPr>
          <w:b/>
          <w:i/>
          <w:sz w:val="24"/>
          <w:szCs w:val="24"/>
          <w:u w:val="single"/>
          <w:lang w:eastAsia="fr-FR"/>
        </w:rPr>
        <w:t>U</w:t>
      </w:r>
      <w:r w:rsidRPr="003D0A98">
        <w:rPr>
          <w:b/>
          <w:i/>
          <w:sz w:val="24"/>
          <w:szCs w:val="24"/>
          <w:u w:val="single"/>
          <w:lang w:eastAsia="fr-FR"/>
        </w:rPr>
        <w:t>sers:</w:t>
      </w:r>
    </w:p>
    <w:p w:rsidR="005D519B" w:rsidRPr="009348A8" w:rsidRDefault="005D519B" w:rsidP="007A6BD2">
      <w:pPr>
        <w:rPr>
          <w:sz w:val="24"/>
          <w:szCs w:val="24"/>
          <w:lang w:eastAsia="fr-FR"/>
        </w:rPr>
      </w:pPr>
    </w:p>
    <w:p w:rsidR="005D519B" w:rsidRPr="009348A8" w:rsidRDefault="005D519B" w:rsidP="007A6BD2">
      <w:pPr>
        <w:numPr>
          <w:ilvl w:val="0"/>
          <w:numId w:val="2"/>
        </w:numPr>
        <w:rPr>
          <w:sz w:val="24"/>
          <w:szCs w:val="24"/>
          <w:lang w:eastAsia="fr-FR"/>
        </w:rPr>
      </w:pPr>
      <w:r w:rsidRPr="009348A8">
        <w:rPr>
          <w:sz w:val="24"/>
          <w:szCs w:val="24"/>
          <w:lang w:eastAsia="fr-FR"/>
        </w:rPr>
        <w:t>Do you envisage requesting your Administration or CEPT the introduction of white space devices in the 470-790 MHz band?</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Yes / No</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As an incumbent user, we are not requesting the introduction of white space devices in the TV bands. However, we expect this to occur very soon in the U.S. and we consider it likely in other countries, including the EU.</w:t>
            </w:r>
          </w:p>
        </w:tc>
      </w:tr>
      <w:tr w:rsidR="005D519B" w:rsidRPr="00B028D9" w:rsidTr="00922652">
        <w:trPr>
          <w:trHeight w:val="427"/>
        </w:trPr>
        <w:tc>
          <w:tcPr>
            <w:tcW w:w="2802" w:type="dxa"/>
            <w:shd w:val="clear" w:color="auto" w:fill="C0C0C0"/>
            <w:vAlign w:val="center"/>
          </w:tcPr>
          <w:p w:rsidR="005D519B" w:rsidRPr="009348A8" w:rsidRDefault="005D519B" w:rsidP="00922652">
            <w:pPr>
              <w:rPr>
                <w:sz w:val="24"/>
                <w:szCs w:val="24"/>
                <w:lang w:eastAsia="fr-FR"/>
              </w:rPr>
            </w:pPr>
            <w:r w:rsidRPr="009348A8">
              <w:rPr>
                <w:sz w:val="24"/>
                <w:szCs w:val="24"/>
                <w:lang w:eastAsia="fr-FR"/>
              </w:rPr>
              <w:t xml:space="preserve">If </w:t>
            </w:r>
            <w:r>
              <w:rPr>
                <w:sz w:val="24"/>
                <w:szCs w:val="24"/>
                <w:lang w:eastAsia="fr-FR"/>
              </w:rPr>
              <w:t>so</w:t>
            </w:r>
            <w:r w:rsidRPr="009348A8">
              <w:rPr>
                <w:sz w:val="24"/>
                <w:szCs w:val="24"/>
                <w:lang w:eastAsia="fr-FR"/>
              </w:rPr>
              <w:t>, can you provide details?</w:t>
            </w:r>
          </w:p>
          <w:p w:rsidR="005D519B" w:rsidRPr="009348A8" w:rsidRDefault="005D519B" w:rsidP="00922652">
            <w:pPr>
              <w:rPr>
                <w:sz w:val="24"/>
                <w:szCs w:val="24"/>
                <w:lang w:eastAsia="fr-FR"/>
              </w:rPr>
            </w:pPr>
            <w:r w:rsidRPr="009348A8">
              <w:rPr>
                <w:sz w:val="24"/>
                <w:szCs w:val="24"/>
                <w:lang w:eastAsia="fr-FR"/>
              </w:rPr>
              <w:t>- date of introduction</w:t>
            </w:r>
            <w:r>
              <w:rPr>
                <w:sz w:val="24"/>
                <w:szCs w:val="24"/>
                <w:lang w:eastAsia="fr-FR"/>
              </w:rPr>
              <w:t>,</w:t>
            </w:r>
          </w:p>
          <w:p w:rsidR="005D519B" w:rsidRPr="009348A8" w:rsidRDefault="005D519B" w:rsidP="00922652">
            <w:pPr>
              <w:rPr>
                <w:sz w:val="24"/>
                <w:szCs w:val="24"/>
                <w:lang w:eastAsia="fr-FR"/>
              </w:rPr>
            </w:pPr>
            <w:r w:rsidRPr="009348A8">
              <w:rPr>
                <w:sz w:val="24"/>
                <w:szCs w:val="24"/>
                <w:lang w:eastAsia="fr-FR"/>
              </w:rPr>
              <w:t>- type of applications</w:t>
            </w:r>
            <w:r>
              <w:rPr>
                <w:sz w:val="24"/>
                <w:szCs w:val="24"/>
                <w:lang w:eastAsia="fr-FR"/>
              </w:rPr>
              <w:t>,</w:t>
            </w:r>
          </w:p>
          <w:p w:rsidR="005D519B" w:rsidRPr="00B028D9" w:rsidRDefault="005D519B" w:rsidP="00922652">
            <w:pPr>
              <w:rPr>
                <w:rFonts w:ascii="Arial" w:hAnsi="Arial" w:cs="Arial"/>
                <w:b/>
              </w:rPr>
            </w:pPr>
            <w:r w:rsidRPr="009348A8">
              <w:rPr>
                <w:sz w:val="24"/>
                <w:szCs w:val="24"/>
                <w:lang w:eastAsia="fr-FR"/>
              </w:rPr>
              <w:t>- type of technology</w:t>
            </w:r>
            <w:r>
              <w:rPr>
                <w:sz w:val="24"/>
                <w:szCs w:val="24"/>
                <w:lang w:eastAsia="fr-FR"/>
              </w:rPr>
              <w:t>.</w:t>
            </w:r>
          </w:p>
        </w:tc>
        <w:tc>
          <w:tcPr>
            <w:tcW w:w="6520" w:type="dxa"/>
            <w:vAlign w:val="center"/>
          </w:tcPr>
          <w:p w:rsidR="005D519B" w:rsidRPr="00B028D9" w:rsidRDefault="005D519B" w:rsidP="00922652">
            <w:pPr>
              <w:rPr>
                <w:rFonts w:ascii="Arial" w:hAnsi="Arial" w:cs="Arial"/>
                <w:color w:val="0000FF"/>
              </w:rPr>
            </w:pPr>
          </w:p>
        </w:tc>
      </w:tr>
    </w:tbl>
    <w:p w:rsidR="005D519B" w:rsidRPr="009348A8" w:rsidRDefault="005D519B" w:rsidP="007A6BD2">
      <w:pPr>
        <w:rPr>
          <w:sz w:val="24"/>
          <w:szCs w:val="24"/>
          <w:lang w:eastAsia="fr-FR"/>
        </w:rPr>
      </w:pPr>
    </w:p>
    <w:p w:rsidR="005D519B" w:rsidRPr="009348A8" w:rsidRDefault="005D519B" w:rsidP="007A6BD2">
      <w:pPr>
        <w:numPr>
          <w:ilvl w:val="0"/>
          <w:numId w:val="2"/>
        </w:numPr>
        <w:rPr>
          <w:sz w:val="24"/>
          <w:szCs w:val="24"/>
          <w:lang w:eastAsia="fr-FR"/>
        </w:rPr>
      </w:pPr>
      <w:r w:rsidRPr="009348A8">
        <w:rPr>
          <w:sz w:val="24"/>
          <w:szCs w:val="24"/>
          <w:lang w:eastAsia="fr-FR"/>
        </w:rPr>
        <w:t>Do you consider that specific mechanisms (e.g., registration in database(s), safe harbour, cognitive capabilities,…) have to be considered to ensure the protection of PMSE with respect to a potential introduction of WSD?</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Yes / No</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Yes</w:t>
            </w:r>
          </w:p>
        </w:tc>
      </w:tr>
      <w:tr w:rsidR="005D519B" w:rsidRPr="00B028D9" w:rsidTr="00922652">
        <w:trPr>
          <w:trHeight w:val="427"/>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c</w:t>
            </w:r>
            <w:r w:rsidRPr="009348A8">
              <w:rPr>
                <w:sz w:val="24"/>
                <w:szCs w:val="24"/>
                <w:lang w:eastAsia="fr-FR"/>
              </w:rPr>
              <w:t>ould you indicate which mechanisms do you foresee?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PMSE is an important service that requires some kind of protection. We believe that a combination of safe harbour channels and database registration represents a practical approach to maintaining the essential quality and reliability of PMSE system operation. </w:t>
            </w:r>
          </w:p>
        </w:tc>
      </w:tr>
      <w:tr w:rsidR="005D519B" w:rsidRPr="00B028D9" w:rsidTr="00922652">
        <w:trPr>
          <w:trHeight w:val="427"/>
        </w:trPr>
        <w:tc>
          <w:tcPr>
            <w:tcW w:w="2802" w:type="dxa"/>
            <w:shd w:val="clear" w:color="auto" w:fill="C0C0C0"/>
            <w:vAlign w:val="center"/>
          </w:tcPr>
          <w:p w:rsidR="005D519B" w:rsidRPr="009348A8" w:rsidRDefault="005D519B" w:rsidP="00922652">
            <w:pPr>
              <w:rPr>
                <w:sz w:val="24"/>
                <w:szCs w:val="24"/>
                <w:lang w:eastAsia="fr-FR"/>
              </w:rPr>
            </w:pPr>
            <w:r w:rsidRPr="009348A8">
              <w:rPr>
                <w:sz w:val="24"/>
                <w:szCs w:val="24"/>
                <w:lang w:eastAsia="fr-FR"/>
              </w:rPr>
              <w:t>For each of these mechanisms, could you give some details and potential advantage/drawback?</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Two to four safe harbour channels would help to meet the routine needs of many smaller PMSE installations without having to register with a database. For larger productions which require many TV channels, database registration appears to be the most practical approach at the present time.</w:t>
            </w:r>
          </w:p>
        </w:tc>
      </w:tr>
    </w:tbl>
    <w:p w:rsidR="005D519B" w:rsidRPr="009348A8" w:rsidRDefault="005D519B" w:rsidP="007A6BD2">
      <w:pPr>
        <w:rPr>
          <w:sz w:val="24"/>
          <w:szCs w:val="24"/>
          <w:lang w:eastAsia="fr-FR"/>
        </w:rPr>
      </w:pPr>
    </w:p>
    <w:p w:rsidR="005D519B" w:rsidRPr="009348A8" w:rsidRDefault="005D519B" w:rsidP="007A6BD2">
      <w:pPr>
        <w:ind w:left="360"/>
        <w:rPr>
          <w:sz w:val="24"/>
          <w:szCs w:val="24"/>
          <w:lang w:eastAsia="fr-FR"/>
        </w:rPr>
      </w:pPr>
      <w:r>
        <w:rPr>
          <w:sz w:val="24"/>
          <w:szCs w:val="24"/>
          <w:lang w:eastAsia="fr-FR"/>
        </w:rPr>
        <w:t>3a.</w:t>
      </w:r>
      <w:r>
        <w:rPr>
          <w:sz w:val="24"/>
          <w:szCs w:val="24"/>
          <w:lang w:eastAsia="fr-FR"/>
        </w:rPr>
        <w:tab/>
      </w:r>
      <w:r w:rsidRPr="009348A8">
        <w:rPr>
          <w:sz w:val="24"/>
          <w:szCs w:val="24"/>
          <w:lang w:eastAsia="fr-FR"/>
        </w:rPr>
        <w:t>In case of registration of PMSE in databases:</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W</w:t>
            </w:r>
            <w:r w:rsidRPr="009348A8">
              <w:rPr>
                <w:sz w:val="24"/>
                <w:szCs w:val="24"/>
                <w:lang w:eastAsia="fr-FR"/>
              </w:rPr>
              <w:t>hich category / type of use of PMSE should be registered and how?</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All types of PMSE use need to be able to register if their channel requirements exceed the number of available safe harbour channels. If there are no PMSE safe harbour channels, then all PMSE systems need to be able to register with a database regardless of the number or licensing status, in accordance with national directives. </w:t>
            </w:r>
          </w:p>
        </w:tc>
      </w:tr>
    </w:tbl>
    <w:p w:rsidR="005D519B" w:rsidRDefault="005D519B" w:rsidP="007A6BD2">
      <w:pPr>
        <w:rPr>
          <w:sz w:val="24"/>
          <w:szCs w:val="24"/>
          <w:lang w:eastAsia="fr-FR"/>
        </w:rPr>
      </w:pPr>
    </w:p>
    <w:p w:rsidR="005D519B" w:rsidRPr="009348A8" w:rsidRDefault="005D519B" w:rsidP="007A6BD2">
      <w:pPr>
        <w:ind w:left="360"/>
        <w:rPr>
          <w:sz w:val="24"/>
          <w:szCs w:val="24"/>
          <w:lang w:eastAsia="fr-FR"/>
        </w:rPr>
      </w:pPr>
      <w:r>
        <w:rPr>
          <w:sz w:val="24"/>
          <w:szCs w:val="24"/>
          <w:lang w:eastAsia="fr-FR"/>
        </w:rPr>
        <w:t>3b.</w:t>
      </w:r>
      <w:r>
        <w:rPr>
          <w:sz w:val="24"/>
          <w:szCs w:val="24"/>
          <w:lang w:eastAsia="fr-FR"/>
        </w:rPr>
        <w:tab/>
      </w:r>
      <w:r w:rsidRPr="009348A8">
        <w:rPr>
          <w:sz w:val="24"/>
          <w:szCs w:val="24"/>
          <w:lang w:eastAsia="fr-FR"/>
        </w:rPr>
        <w:t>In case of safe harbour:</w:t>
      </w:r>
    </w:p>
    <w:p w:rsidR="005D519B" w:rsidRDefault="005D519B" w:rsidP="007A6BD2">
      <w:pPr>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H</w:t>
            </w:r>
            <w:r w:rsidRPr="009348A8">
              <w:rPr>
                <w:sz w:val="24"/>
                <w:szCs w:val="24"/>
                <w:lang w:eastAsia="fr-FR"/>
              </w:rPr>
              <w:t>ow many channels would you foresee? Would they be regional wide / nation wide?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We recommend that the EU mandate the establishment of a minimum of two to four PMSE safe harbour channels in each country by the national administration. Ideally these would be EU-wide to facilitate cross-border operation, but we recognize that this may not be practical. Designation across smaller zones (in the limit, down to the city level) may be necessary in some cases.</w:t>
            </w:r>
          </w:p>
        </w:tc>
      </w:tr>
    </w:tbl>
    <w:p w:rsidR="005D519B" w:rsidRDefault="005D519B" w:rsidP="007A6BD2">
      <w:pPr>
        <w:rPr>
          <w:sz w:val="24"/>
          <w:szCs w:val="24"/>
          <w:lang w:eastAsia="fr-FR"/>
        </w:rPr>
      </w:pPr>
    </w:p>
    <w:p w:rsidR="005D519B" w:rsidRDefault="005D519B" w:rsidP="007A6BD2">
      <w:pPr>
        <w:ind w:left="360"/>
        <w:rPr>
          <w:sz w:val="24"/>
          <w:szCs w:val="24"/>
          <w:lang w:eastAsia="fr-FR"/>
        </w:rPr>
      </w:pPr>
      <w:r>
        <w:rPr>
          <w:sz w:val="24"/>
          <w:szCs w:val="24"/>
          <w:lang w:eastAsia="fr-FR"/>
        </w:rPr>
        <w:t>3c.</w:t>
      </w:r>
      <w:r>
        <w:rPr>
          <w:sz w:val="24"/>
          <w:szCs w:val="24"/>
          <w:lang w:eastAsia="fr-FR"/>
        </w:rPr>
        <w:tab/>
        <w:t xml:space="preserve">Other mechanisms </w:t>
      </w:r>
      <w:r w:rsidRPr="009348A8">
        <w:rPr>
          <w:sz w:val="24"/>
          <w:szCs w:val="24"/>
          <w:lang w:eastAsia="fr-FR"/>
        </w:rPr>
        <w:t>(e.g.: beacons, C</w:t>
      </w:r>
      <w:r>
        <w:rPr>
          <w:sz w:val="24"/>
          <w:szCs w:val="24"/>
          <w:lang w:eastAsia="fr-FR"/>
        </w:rPr>
        <w:t>ognitive</w:t>
      </w:r>
      <w:r w:rsidRPr="009348A8">
        <w:rPr>
          <w:sz w:val="24"/>
          <w:szCs w:val="24"/>
          <w:lang w:eastAsia="fr-FR"/>
        </w:rPr>
        <w:t>-PMSE,…):</w:t>
      </w:r>
    </w:p>
    <w:p w:rsidR="005D519B" w:rsidRDefault="005D519B" w:rsidP="007A6BD2">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please describe.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 xml:space="preserve">We do not see the use of beacons as an attractive or practical solution at the present time. </w:t>
            </w:r>
            <w:r>
              <w:rPr>
                <w:rFonts w:ascii="Arial" w:hAnsi="Arial" w:cs="Arial"/>
                <w:color w:val="0000FF"/>
              </w:rPr>
              <w:br/>
              <w:t>Cognitive PMSE systems are not yet available in the market, so this remains a potential future possibility.</w:t>
            </w:r>
          </w:p>
        </w:tc>
      </w:tr>
    </w:tbl>
    <w:p w:rsidR="005D519B" w:rsidRDefault="005D519B" w:rsidP="007A6BD2">
      <w:pPr>
        <w:rPr>
          <w:sz w:val="24"/>
          <w:szCs w:val="24"/>
          <w:lang w:eastAsia="fr-FR"/>
        </w:rPr>
      </w:pPr>
    </w:p>
    <w:p w:rsidR="005D519B" w:rsidRDefault="005D519B" w:rsidP="007A6BD2">
      <w:pPr>
        <w:ind w:left="360"/>
        <w:rPr>
          <w:sz w:val="24"/>
          <w:szCs w:val="24"/>
          <w:lang w:eastAsia="fr-FR"/>
        </w:rPr>
      </w:pPr>
      <w:r>
        <w:rPr>
          <w:sz w:val="24"/>
          <w:szCs w:val="24"/>
          <w:lang w:eastAsia="fr-FR"/>
        </w:rPr>
        <w:t>3d.</w:t>
      </w:r>
      <w:r>
        <w:rPr>
          <w:sz w:val="24"/>
          <w:szCs w:val="24"/>
          <w:lang w:eastAsia="fr-FR"/>
        </w:rPr>
        <w:tab/>
      </w:r>
      <w:r w:rsidRPr="009348A8">
        <w:rPr>
          <w:sz w:val="24"/>
          <w:szCs w:val="24"/>
          <w:lang w:eastAsia="fr-FR"/>
        </w:rPr>
        <w:t>Do you consider that any mechanism (e.g., data base, safe harbour, cognitive capabilities,…) have to be considered to ensure the protection of PMSE if no WSD are deployed in the 470-790 MHz band?</w:t>
      </w:r>
    </w:p>
    <w:p w:rsidR="005D519B" w:rsidRDefault="005D519B" w:rsidP="007A6BD2">
      <w:pPr>
        <w:ind w:left="360"/>
        <w:rPr>
          <w:sz w:val="24"/>
          <w:szCs w:val="24"/>
          <w:lang w:eastAsia="fr-F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520"/>
      </w:tblGrid>
      <w:tr w:rsidR="005D519B" w:rsidRPr="00B028D9" w:rsidTr="00922652">
        <w:trPr>
          <w:trHeight w:val="478"/>
        </w:trPr>
        <w:tc>
          <w:tcPr>
            <w:tcW w:w="2802" w:type="dxa"/>
            <w:shd w:val="clear" w:color="auto" w:fill="C0C0C0"/>
            <w:vAlign w:val="center"/>
          </w:tcPr>
          <w:p w:rsidR="005D519B" w:rsidRPr="00B028D9" w:rsidRDefault="005D519B" w:rsidP="00922652">
            <w:pPr>
              <w:rPr>
                <w:rFonts w:ascii="Arial" w:hAnsi="Arial" w:cs="Arial"/>
                <w:b/>
              </w:rPr>
            </w:pPr>
            <w:r>
              <w:rPr>
                <w:sz w:val="24"/>
                <w:szCs w:val="24"/>
                <w:lang w:eastAsia="fr-FR"/>
              </w:rPr>
              <w:t>If so, please describe.</w:t>
            </w:r>
          </w:p>
        </w:tc>
        <w:tc>
          <w:tcPr>
            <w:tcW w:w="6520" w:type="dxa"/>
            <w:vAlign w:val="center"/>
          </w:tcPr>
          <w:p w:rsidR="005D519B" w:rsidRPr="00B028D9" w:rsidRDefault="005D519B" w:rsidP="00922652">
            <w:pPr>
              <w:rPr>
                <w:rFonts w:ascii="Arial" w:hAnsi="Arial" w:cs="Arial"/>
                <w:color w:val="0000FF"/>
              </w:rPr>
            </w:pPr>
            <w:r>
              <w:rPr>
                <w:rFonts w:ascii="Arial" w:hAnsi="Arial" w:cs="Arial"/>
                <w:color w:val="0000FF"/>
              </w:rPr>
              <w:t>Even if no WSD are deployed in the 470-790 MHz band, it may still be necessary to designate safe harbour channels or use a database to manage the spectrum, particularly if administrations decide to open this band to other kinds of new devices or services.</w:t>
            </w:r>
          </w:p>
        </w:tc>
      </w:tr>
    </w:tbl>
    <w:p w:rsidR="005D519B" w:rsidRDefault="005D519B" w:rsidP="007A6BD2"/>
    <w:p w:rsidR="005D519B" w:rsidRDefault="005D519B" w:rsidP="007A6BD2"/>
    <w:p w:rsidR="005D519B" w:rsidRDefault="005D519B"/>
    <w:sectPr w:rsidR="005D519B" w:rsidSect="0081115C">
      <w:headerReference w:type="even" r:id="rId8"/>
      <w:footerReference w:type="even" r:id="rId9"/>
      <w:footerReference w:type="default" r:id="rId10"/>
      <w:pgSz w:w="11907" w:h="16840" w:code="9"/>
      <w:pgMar w:top="1418" w:right="1474" w:bottom="1418" w:left="1418" w:header="709"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19B" w:rsidRDefault="005D519B" w:rsidP="007A6BD2">
      <w:r>
        <w:separator/>
      </w:r>
    </w:p>
  </w:endnote>
  <w:endnote w:type="continuationSeparator" w:id="0">
    <w:p w:rsidR="005D519B" w:rsidRDefault="005D519B" w:rsidP="007A6B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9B" w:rsidRDefault="005D519B">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9B" w:rsidRDefault="005D519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19B" w:rsidRDefault="005D519B" w:rsidP="007A6BD2">
      <w:r>
        <w:separator/>
      </w:r>
    </w:p>
  </w:footnote>
  <w:footnote w:type="continuationSeparator" w:id="0">
    <w:p w:rsidR="005D519B" w:rsidRDefault="005D519B" w:rsidP="007A6BD2">
      <w:r>
        <w:continuationSeparator/>
      </w:r>
    </w:p>
  </w:footnote>
  <w:footnote w:id="1">
    <w:p w:rsidR="005D519B" w:rsidRDefault="005D519B" w:rsidP="007A6BD2">
      <w:pPr>
        <w:pStyle w:val="FootnoteText"/>
      </w:pPr>
      <w:r w:rsidRPr="00816FC4">
        <w:rPr>
          <w:rStyle w:val="FootnoteReference"/>
        </w:rPr>
        <w:footnoteRef/>
      </w:r>
      <w:r w:rsidRPr="00816FC4">
        <w:t xml:space="preserve"> CEPT Report 32 describes PMSE applications </w:t>
      </w:r>
      <w:r w:rsidRPr="00816FC4">
        <w:rPr>
          <w:color w:val="0000FF"/>
        </w:rPr>
        <w:t>(http://www.erodocdb.dk/Docs/doc98/official/Word/CEPTREP032.DOC).</w:t>
      </w:r>
    </w:p>
  </w:footnote>
  <w:footnote w:id="2">
    <w:p w:rsidR="005D519B" w:rsidRDefault="005D519B" w:rsidP="007A6BD2">
      <w:pPr>
        <w:pStyle w:val="FootnoteText"/>
      </w:pPr>
      <w:r>
        <w:rPr>
          <w:rStyle w:val="FootnoteReference"/>
        </w:rPr>
        <w:footnoteRef/>
      </w:r>
      <w:r>
        <w:t xml:space="preserve"> White Space Device.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519B" w:rsidRPr="00B51EFF" w:rsidRDefault="005D519B">
    <w:pPr>
      <w:pStyle w:val="Header"/>
      <w:rPr>
        <w:b/>
        <w:lang w:val="fr-FR"/>
      </w:rPr>
    </w:pPr>
    <w:r w:rsidRPr="00B51EFF">
      <w:rPr>
        <w:b/>
        <w:lang w:val="fr-FR"/>
      </w:rPr>
      <w:t>ECC/DEC/(xx)yy</w:t>
    </w:r>
  </w:p>
  <w:p w:rsidR="005D519B" w:rsidRPr="00B51EFF" w:rsidRDefault="005D519B">
    <w:pPr>
      <w:pStyle w:val="Header"/>
      <w:rPr>
        <w:lang w:val="fr-FR"/>
      </w:rPr>
    </w:pPr>
    <w:r w:rsidRPr="00B51EFF">
      <w:rPr>
        <w:lang w:val="fr-FR"/>
      </w:rPr>
      <w:t>Page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54020"/>
    <w:multiLevelType w:val="hybridMultilevel"/>
    <w:tmpl w:val="47E8EC9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3F944FD0"/>
    <w:multiLevelType w:val="hybridMultilevel"/>
    <w:tmpl w:val="94C6D398"/>
    <w:lvl w:ilvl="0" w:tplc="234EE8F4">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displayBackgroundShape/>
  <w:stylePaneFormatFilter w:val="3F04"/>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BD2"/>
    <w:rsid w:val="001608F2"/>
    <w:rsid w:val="00323033"/>
    <w:rsid w:val="00330E1A"/>
    <w:rsid w:val="003531D7"/>
    <w:rsid w:val="003D0A98"/>
    <w:rsid w:val="003F00E3"/>
    <w:rsid w:val="004B23D2"/>
    <w:rsid w:val="005D519B"/>
    <w:rsid w:val="006156F3"/>
    <w:rsid w:val="006820C4"/>
    <w:rsid w:val="007A6BD2"/>
    <w:rsid w:val="0081115C"/>
    <w:rsid w:val="00816FC4"/>
    <w:rsid w:val="00826FBF"/>
    <w:rsid w:val="00906EB8"/>
    <w:rsid w:val="00922652"/>
    <w:rsid w:val="009348A8"/>
    <w:rsid w:val="009E099A"/>
    <w:rsid w:val="00A9697D"/>
    <w:rsid w:val="00B028D9"/>
    <w:rsid w:val="00B51EFF"/>
    <w:rsid w:val="00CF0118"/>
    <w:rsid w:val="00D75506"/>
    <w:rsid w:val="00F17639"/>
    <w:rsid w:val="00F370D1"/>
    <w:rsid w:val="00FB397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A6BD2"/>
    <w:rPr>
      <w:sz w:val="20"/>
      <w:szCs w:val="20"/>
      <w:lang w:val="en-GB"/>
    </w:rPr>
  </w:style>
  <w:style w:type="paragraph" w:styleId="Heading1">
    <w:name w:val="heading 1"/>
    <w:basedOn w:val="Normal"/>
    <w:next w:val="Normal"/>
    <w:link w:val="Heading1Char"/>
    <w:uiPriority w:val="99"/>
    <w:qFormat/>
    <w:rsid w:val="00906EB8"/>
    <w:pPr>
      <w:spacing w:before="240"/>
      <w:outlineLvl w:val="0"/>
    </w:pPr>
    <w:rPr>
      <w:b/>
      <w:sz w:val="28"/>
      <w:u w:val="single"/>
    </w:rPr>
  </w:style>
  <w:style w:type="paragraph" w:styleId="Heading2">
    <w:name w:val="heading 2"/>
    <w:basedOn w:val="Normal"/>
    <w:next w:val="Normal"/>
    <w:link w:val="Heading2Char"/>
    <w:uiPriority w:val="99"/>
    <w:qFormat/>
    <w:rsid w:val="00906EB8"/>
    <w:pPr>
      <w:spacing w:before="120"/>
      <w:outlineLvl w:val="1"/>
    </w:pPr>
    <w:rPr>
      <w:b/>
      <w:sz w:val="28"/>
    </w:rPr>
  </w:style>
  <w:style w:type="paragraph" w:styleId="Heading3">
    <w:name w:val="heading 3"/>
    <w:basedOn w:val="Normal"/>
    <w:next w:val="NormalIndent"/>
    <w:link w:val="Heading3Char"/>
    <w:uiPriority w:val="99"/>
    <w:qFormat/>
    <w:rsid w:val="00906EB8"/>
    <w:pPr>
      <w:ind w:left="354"/>
      <w:outlineLvl w:val="2"/>
    </w:pPr>
    <w:rPr>
      <w:b/>
      <w:sz w:val="24"/>
    </w:rPr>
  </w:style>
  <w:style w:type="paragraph" w:styleId="Heading4">
    <w:name w:val="heading 4"/>
    <w:basedOn w:val="Normal"/>
    <w:next w:val="Normal"/>
    <w:link w:val="Heading4Char"/>
    <w:uiPriority w:val="99"/>
    <w:qFormat/>
    <w:rsid w:val="00906EB8"/>
    <w:pPr>
      <w:keepNext/>
      <w:jc w:val="right"/>
      <w:outlineLvl w:val="3"/>
    </w:pPr>
    <w:rPr>
      <w:b/>
      <w:lang w:val="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6EB8"/>
    <w:rPr>
      <w:rFonts w:ascii="Verdana" w:hAnsi="Verdana" w:cs="Times New Roman"/>
      <w:b/>
      <w:sz w:val="28"/>
      <w:u w:val="single"/>
      <w:lang w:val="en-US" w:eastAsia="de-DE"/>
    </w:rPr>
  </w:style>
  <w:style w:type="character" w:customStyle="1" w:styleId="Heading2Char">
    <w:name w:val="Heading 2 Char"/>
    <w:basedOn w:val="DefaultParagraphFont"/>
    <w:link w:val="Heading2"/>
    <w:uiPriority w:val="99"/>
    <w:locked/>
    <w:rsid w:val="00906EB8"/>
    <w:rPr>
      <w:rFonts w:ascii="Verdana" w:hAnsi="Verdana" w:cs="Times New Roman"/>
      <w:b/>
      <w:sz w:val="28"/>
      <w:lang w:val="en-US" w:eastAsia="de-DE"/>
    </w:rPr>
  </w:style>
  <w:style w:type="character" w:customStyle="1" w:styleId="Heading3Char">
    <w:name w:val="Heading 3 Char"/>
    <w:basedOn w:val="DefaultParagraphFont"/>
    <w:link w:val="Heading3"/>
    <w:uiPriority w:val="99"/>
    <w:locked/>
    <w:rsid w:val="00906EB8"/>
    <w:rPr>
      <w:rFonts w:ascii="Verdana" w:hAnsi="Verdana" w:cs="Times New Roman"/>
      <w:b/>
      <w:sz w:val="24"/>
      <w:lang w:val="en-US" w:eastAsia="de-DE"/>
    </w:rPr>
  </w:style>
  <w:style w:type="character" w:customStyle="1" w:styleId="Heading4Char">
    <w:name w:val="Heading 4 Char"/>
    <w:basedOn w:val="DefaultParagraphFont"/>
    <w:link w:val="Heading4"/>
    <w:uiPriority w:val="99"/>
    <w:locked/>
    <w:rsid w:val="00906EB8"/>
    <w:rPr>
      <w:rFonts w:ascii="Verdana" w:hAnsi="Verdana" w:cs="Times New Roman"/>
      <w:b/>
      <w:lang w:eastAsia="de-DE"/>
    </w:rPr>
  </w:style>
  <w:style w:type="paragraph" w:styleId="Title">
    <w:name w:val="Title"/>
    <w:basedOn w:val="Normal"/>
    <w:next w:val="Normal"/>
    <w:link w:val="TitleChar"/>
    <w:uiPriority w:val="99"/>
    <w:qFormat/>
    <w:rsid w:val="00906EB8"/>
    <w:pPr>
      <w:spacing w:before="240" w:after="60"/>
      <w:jc w:val="center"/>
      <w:outlineLvl w:val="0"/>
    </w:pPr>
    <w:rPr>
      <w:b/>
      <w:bCs/>
      <w:kern w:val="28"/>
      <w:sz w:val="32"/>
      <w:szCs w:val="32"/>
    </w:rPr>
  </w:style>
  <w:style w:type="character" w:customStyle="1" w:styleId="TitleChar">
    <w:name w:val="Title Char"/>
    <w:basedOn w:val="DefaultParagraphFont"/>
    <w:link w:val="Title"/>
    <w:uiPriority w:val="99"/>
    <w:locked/>
    <w:rsid w:val="00906EB8"/>
    <w:rPr>
      <w:rFonts w:ascii="Verdana" w:hAnsi="Verdana" w:cs="Times New Roman"/>
      <w:b/>
      <w:bCs/>
      <w:kern w:val="28"/>
      <w:sz w:val="32"/>
      <w:szCs w:val="32"/>
      <w:lang w:val="en-US"/>
    </w:rPr>
  </w:style>
  <w:style w:type="paragraph" w:styleId="NormalIndent">
    <w:name w:val="Normal Indent"/>
    <w:basedOn w:val="Normal"/>
    <w:uiPriority w:val="99"/>
    <w:semiHidden/>
    <w:rsid w:val="00906EB8"/>
    <w:pPr>
      <w:ind w:left="708"/>
    </w:pPr>
  </w:style>
  <w:style w:type="paragraph" w:styleId="Header">
    <w:name w:val="header"/>
    <w:aliases w:val="encabezado,he,header odd,header odd1,header odd2"/>
    <w:basedOn w:val="Normal"/>
    <w:link w:val="HeaderChar1"/>
    <w:uiPriority w:val="99"/>
    <w:rsid w:val="007A6BD2"/>
    <w:pPr>
      <w:tabs>
        <w:tab w:val="center" w:pos="4153"/>
        <w:tab w:val="right" w:pos="8306"/>
      </w:tabs>
    </w:pPr>
  </w:style>
  <w:style w:type="character" w:customStyle="1" w:styleId="HeaderChar">
    <w:name w:val="Header Char"/>
    <w:aliases w:val="encabezado Char,he Char,header odd Char,header odd1 Char,header odd2 Char"/>
    <w:basedOn w:val="DefaultParagraphFont"/>
    <w:link w:val="Header"/>
    <w:uiPriority w:val="99"/>
    <w:semiHidden/>
    <w:rsid w:val="00844001"/>
    <w:rPr>
      <w:sz w:val="20"/>
      <w:szCs w:val="20"/>
      <w:lang w:val="en-GB"/>
    </w:rPr>
  </w:style>
  <w:style w:type="character" w:customStyle="1" w:styleId="HeaderChar1">
    <w:name w:val="Header Char1"/>
    <w:aliases w:val="encabezado Char1,he Char1,header odd Char1,header odd1 Char1,header odd2 Char1"/>
    <w:basedOn w:val="DefaultParagraphFont"/>
    <w:link w:val="Header"/>
    <w:uiPriority w:val="99"/>
    <w:locked/>
    <w:rsid w:val="007A6BD2"/>
    <w:rPr>
      <w:rFonts w:cs="Times New Roman"/>
      <w:lang w:val="en-GB"/>
    </w:rPr>
  </w:style>
  <w:style w:type="paragraph" w:styleId="Footer">
    <w:name w:val="footer"/>
    <w:basedOn w:val="Normal"/>
    <w:link w:val="FooterChar"/>
    <w:uiPriority w:val="99"/>
    <w:rsid w:val="007A6BD2"/>
    <w:pPr>
      <w:tabs>
        <w:tab w:val="center" w:pos="4153"/>
        <w:tab w:val="right" w:pos="8306"/>
      </w:tabs>
    </w:pPr>
  </w:style>
  <w:style w:type="character" w:customStyle="1" w:styleId="FooterChar">
    <w:name w:val="Footer Char"/>
    <w:basedOn w:val="DefaultParagraphFont"/>
    <w:link w:val="Footer"/>
    <w:uiPriority w:val="99"/>
    <w:locked/>
    <w:rsid w:val="007A6BD2"/>
    <w:rPr>
      <w:rFonts w:cs="Times New Roman"/>
      <w:lang w:val="en-GB"/>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2"/>
    <w:uiPriority w:val="99"/>
    <w:semiHidden/>
    <w:rsid w:val="007A6BD2"/>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uiPriority w:val="99"/>
    <w:semiHidden/>
    <w:rsid w:val="00844001"/>
    <w:rPr>
      <w:sz w:val="20"/>
      <w:szCs w:val="20"/>
      <w:lang w:val="en-GB"/>
    </w:rPr>
  </w:style>
  <w:style w:type="character" w:customStyle="1" w:styleId="FootnoteTextChar2">
    <w:name w:val="Footnote Text Char2"/>
    <w:aliases w:val="ALTS FOOTNOTE Char1,DNV-FT Char1,Footnote Text Char1 Char1,Footnote Text Char Char1 Char1,Footnote Text Char4 Char Char Char1,Footnote Text Char1 Char1 Char1 Char Char1,Footnote Text Char Char1 Char1 Char Char Char1"/>
    <w:basedOn w:val="DefaultParagraphFont"/>
    <w:link w:val="FootnoteText"/>
    <w:uiPriority w:val="99"/>
    <w:semiHidden/>
    <w:locked/>
    <w:rsid w:val="007A6BD2"/>
    <w:rPr>
      <w:rFonts w:cs="Times New Roman"/>
      <w:lang w:val="en-GB"/>
    </w:rPr>
  </w:style>
  <w:style w:type="character" w:styleId="FootnoteReference">
    <w:name w:val="footnote reference"/>
    <w:aliases w:val="Appel note de bas de p,Footnote Reference/"/>
    <w:basedOn w:val="DefaultParagraphFont"/>
    <w:uiPriority w:val="99"/>
    <w:semiHidden/>
    <w:rsid w:val="007A6BD2"/>
    <w:rPr>
      <w:rFonts w:cs="Times New Roman"/>
      <w:vertAlign w:val="superscript"/>
    </w:rPr>
  </w:style>
  <w:style w:type="character" w:styleId="Hyperlink">
    <w:name w:val="Hyperlink"/>
    <w:basedOn w:val="DefaultParagraphFont"/>
    <w:uiPriority w:val="99"/>
    <w:rsid w:val="007A6BD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homas.weber@eco.cept.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7</Pages>
  <Words>1558</Words>
  <Characters>8882</Characters>
  <Application>Microsoft Office Outlook</Application>
  <DocSecurity>0</DocSecurity>
  <Lines>0</Lines>
  <Paragraphs>0</Paragraphs>
  <ScaleCrop>false</ScaleCrop>
  <Company>Shure Incorporated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 related to the regulatory consideration of the protection of PMSE  in the UHF band in a context of WSD (White Space Device) use</dc:title>
  <dc:subject/>
  <dc:creator>bilzw</dc:creator>
  <cp:keywords/>
  <dc:description/>
  <cp:lastModifiedBy>Thomas Weber</cp:lastModifiedBy>
  <cp:revision>2</cp:revision>
  <dcterms:created xsi:type="dcterms:W3CDTF">2011-09-19T07:13:00Z</dcterms:created>
  <dcterms:modified xsi:type="dcterms:W3CDTF">2011-09-19T07:13:00Z</dcterms:modified>
</cp:coreProperties>
</file>